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A63BD">
      <w:pPr>
        <w:keepNext w:val="0"/>
        <w:keepLines w:val="0"/>
        <w:pageBreakBefore w:val="0"/>
        <w:wordWrap/>
        <w:overflowPunct/>
        <w:topLinePunct w:val="0"/>
        <w:bidi w:val="0"/>
        <w:spacing w:before="263" w:line="360" w:lineRule="auto"/>
        <w:jc w:val="both"/>
        <w:rPr>
          <w:rFonts w:hint="eastAsia" w:ascii="黑体" w:hAnsi="黑体" w:eastAsia="黑体" w:cs="黑体"/>
          <w:b w:val="0"/>
          <w:bCs w:val="0"/>
          <w:spacing w:val="-6"/>
          <w:sz w:val="28"/>
          <w:szCs w:val="28"/>
          <w:lang w:val="en-US" w:eastAsia="zh-CN"/>
        </w:rPr>
      </w:pPr>
      <w:r>
        <w:rPr>
          <w:rFonts w:hint="eastAsia" w:ascii="黑体" w:hAnsi="黑体" w:eastAsia="黑体" w:cs="黑体"/>
          <w:b w:val="0"/>
          <w:bCs w:val="0"/>
          <w:spacing w:val="-6"/>
          <w:sz w:val="28"/>
          <w:szCs w:val="28"/>
          <w:lang w:val="en-US" w:eastAsia="zh-CN"/>
        </w:rPr>
        <w:t>附件1</w:t>
      </w:r>
    </w:p>
    <w:p w14:paraId="41CC8238">
      <w:pPr>
        <w:keepNext w:val="0"/>
        <w:keepLines w:val="0"/>
        <w:pageBreakBefore w:val="0"/>
        <w:widowControl/>
        <w:suppressLineNumbers w:val="0"/>
        <w:kinsoku/>
        <w:wordWrap/>
        <w:overflowPunct/>
        <w:topLinePunct w:val="0"/>
        <w:autoSpaceDE/>
        <w:autoSpaceDN/>
        <w:bidi w:val="0"/>
        <w:adjustRightInd/>
        <w:snapToGrid/>
        <w:spacing w:beforeAutospacing="0" w:after="313" w:afterLines="100" w:afterAutospacing="0" w:line="560" w:lineRule="exact"/>
        <w:jc w:val="center"/>
        <w:textAlignment w:val="baseline"/>
        <w:rPr>
          <w:rFonts w:hint="eastAsia" w:ascii="方正小标宋简体" w:hAnsi="方正小标宋简体" w:eastAsia="方正小标宋简体" w:cs="方正小标宋简体"/>
          <w:b/>
          <w:bCs/>
          <w:color w:val="auto"/>
          <w:spacing w:val="0"/>
          <w:sz w:val="38"/>
          <w:szCs w:val="38"/>
          <w:lang w:val="en-US" w:eastAsia="zh-CN"/>
        </w:rPr>
      </w:pPr>
      <w:r>
        <w:rPr>
          <w:rFonts w:hint="eastAsia" w:ascii="方正小标宋简体" w:hAnsi="方正小标宋简体" w:eastAsia="方正小标宋简体" w:cs="方正小标宋简体"/>
          <w:b/>
          <w:bCs/>
          <w:color w:val="auto"/>
          <w:spacing w:val="0"/>
          <w:sz w:val="38"/>
          <w:szCs w:val="38"/>
          <w:lang w:val="en-US" w:eastAsia="zh-CN"/>
        </w:rPr>
        <w:t>四川省首届“天顺</w:t>
      </w:r>
      <w:r>
        <w:rPr>
          <w:rFonts w:hint="eastAsia" w:ascii="方正小标宋简体" w:hAnsi="方正小标宋简体" w:eastAsia="方正小标宋简体" w:cs="方正小标宋简体"/>
          <w:b/>
          <w:bCs/>
          <w:color w:val="auto"/>
          <w:spacing w:val="0"/>
          <w:sz w:val="38"/>
          <w:szCs w:val="38"/>
          <w:lang w:val="en-US" w:eastAsia="zh-CN"/>
        </w:rPr>
        <w:t>杯”</w:t>
      </w:r>
      <w:r>
        <w:rPr>
          <w:rFonts w:hint="eastAsia" w:ascii="方正小标宋简体" w:hAnsi="方正小标宋简体" w:eastAsia="方正小标宋简体" w:cs="方正小标宋简体"/>
          <w:b/>
          <w:bCs/>
          <w:color w:val="auto"/>
          <w:spacing w:val="0"/>
          <w:sz w:val="38"/>
          <w:szCs w:val="38"/>
          <w:lang w:val="en-US" w:eastAsia="zh-CN"/>
        </w:rPr>
        <w:t>大学生智慧农牧与食品营养健康就业创业挑战赛作品要求及评审规则</w:t>
      </w:r>
    </w:p>
    <w:p w14:paraId="73BB064A">
      <w:pPr>
        <w:keepNext w:val="0"/>
        <w:keepLines w:val="0"/>
        <w:pageBreakBefore w:val="0"/>
        <w:widowControl w:val="0"/>
        <w:kinsoku/>
        <w:wordWrap/>
        <w:overflowPunct/>
        <w:topLinePunct w:val="0"/>
        <w:autoSpaceDE w:val="0"/>
        <w:autoSpaceDN w:val="0"/>
        <w:bidi w:val="0"/>
        <w:adjustRightInd w:val="0"/>
        <w:snapToGrid w:val="0"/>
        <w:spacing w:line="360" w:lineRule="auto"/>
        <w:ind w:firstLine="619" w:firstLineChars="200"/>
        <w:jc w:val="both"/>
        <w:textAlignment w:val="baseline"/>
        <w:rPr>
          <w:rFonts w:hint="eastAsia" w:ascii="黑体" w:hAnsi="黑体" w:eastAsia="黑体" w:cs="黑体"/>
          <w:b/>
          <w:bCs/>
          <w:spacing w:val="-6"/>
          <w:sz w:val="32"/>
          <w:szCs w:val="32"/>
          <w:lang w:val="en-US" w:eastAsia="zh-CN"/>
        </w:rPr>
      </w:pPr>
      <w:r>
        <w:rPr>
          <w:rFonts w:hint="eastAsia" w:ascii="黑体" w:hAnsi="黑体" w:eastAsia="黑体" w:cs="黑体"/>
          <w:b/>
          <w:bCs/>
          <w:spacing w:val="-6"/>
          <w:sz w:val="32"/>
          <w:szCs w:val="32"/>
          <w:lang w:val="en-US" w:eastAsia="zh-CN"/>
        </w:rPr>
        <w:t>一、健康养殖赛道</w:t>
      </w:r>
    </w:p>
    <w:p w14:paraId="072CB771">
      <w:pPr>
        <w:keepNext w:val="0"/>
        <w:keepLines w:val="0"/>
        <w:pageBreakBefore w:val="0"/>
        <w:widowControl w:val="0"/>
        <w:kinsoku/>
        <w:wordWrap/>
        <w:overflowPunct/>
        <w:topLinePunct w:val="0"/>
        <w:autoSpaceDE w:val="0"/>
        <w:autoSpaceDN w:val="0"/>
        <w:bidi w:val="0"/>
        <w:adjustRightInd w:val="0"/>
        <w:snapToGrid w:val="0"/>
        <w:spacing w:line="360" w:lineRule="auto"/>
        <w:ind w:firstLine="619" w:firstLineChars="200"/>
        <w:jc w:val="both"/>
        <w:textAlignment w:val="baseline"/>
        <w:rPr>
          <w:rFonts w:hint="eastAsia" w:ascii="楷体_GB2312" w:hAnsi="楷体_GB2312" w:eastAsia="楷体_GB2312" w:cs="楷体_GB2312"/>
          <w:b/>
          <w:bCs/>
          <w:spacing w:val="-6"/>
          <w:sz w:val="32"/>
          <w:szCs w:val="32"/>
          <w:lang w:val="en-US" w:eastAsia="zh-CN"/>
        </w:rPr>
      </w:pPr>
      <w:r>
        <w:rPr>
          <w:rFonts w:hint="eastAsia" w:ascii="楷体_GB2312" w:hAnsi="楷体_GB2312" w:eastAsia="楷体_GB2312" w:cs="楷体_GB2312"/>
          <w:b/>
          <w:bCs/>
          <w:spacing w:val="-6"/>
          <w:sz w:val="32"/>
          <w:szCs w:val="32"/>
          <w:lang w:val="en-US" w:eastAsia="zh-CN"/>
        </w:rPr>
        <w:t>（一）作品要求</w:t>
      </w:r>
    </w:p>
    <w:p w14:paraId="246A0219">
      <w:pPr>
        <w:keepNext w:val="0"/>
        <w:keepLines w:val="0"/>
        <w:pageBreakBefore w:val="0"/>
        <w:widowControl w:val="0"/>
        <w:kinsoku/>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Times New Roman" w:hAnsi="Times New Roman" w:eastAsia="仿宋_GB2312" w:cs="Times New Roman"/>
          <w:snapToGrid w:val="0"/>
          <w:color w:val="auto"/>
          <w:spacing w:val="0"/>
          <w:kern w:val="0"/>
          <w:sz w:val="32"/>
          <w:szCs w:val="32"/>
          <w:lang w:val="en-US" w:eastAsia="zh-CN" w:bidi="ar-SA"/>
        </w:rPr>
      </w:pPr>
      <w:r>
        <w:rPr>
          <w:rFonts w:hint="eastAsia" w:ascii="Times New Roman" w:hAnsi="Times New Roman" w:eastAsia="仿宋_GB2312" w:cs="Times New Roman"/>
          <w:snapToGrid w:val="0"/>
          <w:color w:val="auto"/>
          <w:spacing w:val="0"/>
          <w:kern w:val="0"/>
          <w:sz w:val="32"/>
          <w:szCs w:val="32"/>
          <w:lang w:val="en-US" w:eastAsia="zh-CN" w:bidi="ar-SA"/>
        </w:rPr>
        <w:t xml:space="preserve">1.规划书1份（格式为 PDF 文件）。内容包括：规划建设目标、设计理念、项目建设条件（地理位置、自然条件等）、建设内容（种养品种、规模、产量、生产工艺面积分配、粪污处理、效益分析等）。 </w:t>
      </w:r>
    </w:p>
    <w:p w14:paraId="03770569">
      <w:pPr>
        <w:keepNext w:val="0"/>
        <w:keepLines w:val="0"/>
        <w:pageBreakBefore w:val="0"/>
        <w:widowControl w:val="0"/>
        <w:kinsoku/>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Times New Roman" w:hAnsi="Times New Roman" w:eastAsia="仿宋_GB2312" w:cs="Times New Roman"/>
          <w:snapToGrid w:val="0"/>
          <w:color w:val="auto"/>
          <w:spacing w:val="0"/>
          <w:kern w:val="0"/>
          <w:sz w:val="32"/>
          <w:szCs w:val="32"/>
          <w:lang w:val="en-US" w:eastAsia="zh-CN" w:bidi="ar-SA"/>
        </w:rPr>
      </w:pPr>
      <w:r>
        <w:rPr>
          <w:rFonts w:hint="eastAsia" w:ascii="Times New Roman" w:hAnsi="Times New Roman" w:eastAsia="仿宋_GB2312" w:cs="Times New Roman"/>
          <w:snapToGrid w:val="0"/>
          <w:color w:val="auto"/>
          <w:spacing w:val="0"/>
          <w:kern w:val="0"/>
          <w:sz w:val="32"/>
          <w:szCs w:val="32"/>
          <w:lang w:val="en-US" w:eastAsia="zh-CN" w:bidi="ar-SA"/>
        </w:rPr>
        <w:t xml:space="preserve">2.规划图纸1套（合成一个PDF文件）。内容包括：图标、图名、图例、方位、主风向、设计理念、农场布局、设计参数、工艺说明、道路规划、绿化规划等部分。 </w:t>
      </w:r>
    </w:p>
    <w:p w14:paraId="31BB6BDF">
      <w:pPr>
        <w:keepNext w:val="0"/>
        <w:keepLines w:val="0"/>
        <w:pageBreakBefore w:val="0"/>
        <w:widowControl w:val="0"/>
        <w:kinsoku/>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Times New Roman" w:hAnsi="Times New Roman" w:eastAsia="仿宋_GB2312" w:cs="Times New Roman"/>
          <w:snapToGrid w:val="0"/>
          <w:color w:val="auto"/>
          <w:spacing w:val="0"/>
          <w:kern w:val="0"/>
          <w:sz w:val="32"/>
          <w:szCs w:val="32"/>
          <w:lang w:val="en-US" w:eastAsia="zh-CN" w:bidi="ar-SA"/>
        </w:rPr>
      </w:pPr>
      <w:r>
        <w:rPr>
          <w:rFonts w:hint="eastAsia" w:ascii="Times New Roman" w:hAnsi="Times New Roman" w:eastAsia="仿宋_GB2312" w:cs="Times New Roman"/>
          <w:snapToGrid w:val="0"/>
          <w:color w:val="auto"/>
          <w:spacing w:val="0"/>
          <w:kern w:val="0"/>
          <w:sz w:val="32"/>
          <w:szCs w:val="32"/>
          <w:lang w:val="en-US" w:eastAsia="zh-CN" w:bidi="ar-SA"/>
        </w:rPr>
        <w:t>3.展示图1张（格式为 PDF 文件，保证图表及字体清晰），尺寸为1.2米（高）×1.0米（宽），展示图为竖版，会务组统一安排制作展示。</w:t>
      </w:r>
    </w:p>
    <w:p w14:paraId="615F8455">
      <w:pPr>
        <w:keepNext w:val="0"/>
        <w:keepLines w:val="0"/>
        <w:pageBreakBefore w:val="0"/>
        <w:widowControl w:val="0"/>
        <w:kinsoku/>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黑体" w:hAnsi="黑体" w:eastAsia="黑体" w:cs="黑体"/>
          <w:b/>
          <w:bCs/>
          <w:spacing w:val="-6"/>
          <w:sz w:val="32"/>
          <w:szCs w:val="32"/>
          <w:lang w:val="en-US" w:eastAsia="zh-CN"/>
        </w:rPr>
      </w:pPr>
      <w:r>
        <w:rPr>
          <w:rFonts w:hint="eastAsia" w:ascii="Times New Roman" w:hAnsi="Times New Roman" w:eastAsia="仿宋_GB2312" w:cs="Times New Roman"/>
          <w:snapToGrid w:val="0"/>
          <w:color w:val="auto"/>
          <w:spacing w:val="0"/>
          <w:kern w:val="0"/>
          <w:sz w:val="32"/>
          <w:szCs w:val="32"/>
          <w:lang w:val="en-US" w:eastAsia="zh-CN" w:bidi="ar-SA"/>
        </w:rPr>
        <w:t xml:space="preserve">以上提交文件中需隐去高校信息，压缩文件以学校名称命名。 </w:t>
      </w:r>
    </w:p>
    <w:p w14:paraId="1C125C39">
      <w:pPr>
        <w:keepNext w:val="0"/>
        <w:keepLines w:val="0"/>
        <w:pageBreakBefore w:val="0"/>
        <w:widowControl/>
        <w:kinsoku w:val="0"/>
        <w:wordWrap/>
        <w:overflowPunct/>
        <w:topLinePunct w:val="0"/>
        <w:autoSpaceDE w:val="0"/>
        <w:autoSpaceDN w:val="0"/>
        <w:bidi w:val="0"/>
        <w:adjustRightInd w:val="0"/>
        <w:snapToGrid w:val="0"/>
        <w:spacing w:line="240" w:lineRule="auto"/>
        <w:ind w:firstLine="619" w:firstLineChars="200"/>
        <w:jc w:val="both"/>
        <w:textAlignment w:val="baseline"/>
        <w:rPr>
          <w:rFonts w:hint="eastAsia" w:ascii="楷体_GB2312" w:hAnsi="楷体_GB2312" w:eastAsia="楷体_GB2312" w:cs="楷体_GB2312"/>
          <w:b/>
          <w:bCs/>
          <w:spacing w:val="-6"/>
          <w:sz w:val="32"/>
          <w:szCs w:val="32"/>
          <w:lang w:val="en-US" w:eastAsia="zh-CN"/>
        </w:rPr>
      </w:pPr>
      <w:r>
        <w:rPr>
          <w:rFonts w:hint="eastAsia" w:ascii="楷体_GB2312" w:hAnsi="楷体_GB2312" w:eastAsia="楷体_GB2312" w:cs="楷体_GB2312"/>
          <w:b/>
          <w:bCs/>
          <w:spacing w:val="-6"/>
          <w:sz w:val="32"/>
          <w:szCs w:val="32"/>
          <w:lang w:val="en-US" w:eastAsia="zh-CN"/>
        </w:rPr>
        <w:t>（二）评分规则</w:t>
      </w:r>
    </w:p>
    <w:tbl>
      <w:tblPr>
        <w:tblStyle w:val="3"/>
        <w:tblpPr w:leftFromText="180" w:rightFromText="180" w:vertAnchor="text" w:horzAnchor="page" w:tblpXSpec="center" w:tblpY="398"/>
        <w:tblOverlap w:val="never"/>
        <w:tblW w:w="86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845"/>
        <w:gridCol w:w="1731"/>
        <w:gridCol w:w="4870"/>
        <w:gridCol w:w="1233"/>
      </w:tblGrid>
      <w:tr w14:paraId="1AF2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53" w:hRule="atLeast"/>
          <w:tblHeader/>
          <w:jc w:val="center"/>
        </w:trPr>
        <w:tc>
          <w:tcPr>
            <w:tcW w:w="845" w:type="dxa"/>
            <w:shd w:val="clear" w:color="auto" w:fill="auto"/>
            <w:tcMar>
              <w:top w:w="150" w:type="dxa"/>
              <w:left w:w="0" w:type="dxa"/>
              <w:bottom w:w="150" w:type="dxa"/>
              <w:right w:w="240" w:type="dxa"/>
            </w:tcMar>
            <w:vAlign w:val="center"/>
          </w:tcPr>
          <w:p w14:paraId="165B9E72">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eastAsia" w:ascii="黑体" w:hAnsi="黑体" w:eastAsia="黑体" w:cs="黑体"/>
                <w:b/>
                <w:sz w:val="28"/>
                <w:szCs w:val="28"/>
              </w:rPr>
            </w:pPr>
            <w:r>
              <w:rPr>
                <w:rFonts w:hint="eastAsia" w:ascii="黑体" w:hAnsi="黑体" w:eastAsia="黑体" w:cs="黑体"/>
                <w:b/>
                <w:color w:val="000000"/>
                <w:kern w:val="0"/>
                <w:sz w:val="28"/>
                <w:szCs w:val="28"/>
              </w:rPr>
              <w:t>序号</w:t>
            </w:r>
          </w:p>
        </w:tc>
        <w:tc>
          <w:tcPr>
            <w:tcW w:w="1731" w:type="dxa"/>
            <w:shd w:val="clear" w:color="auto" w:fill="auto"/>
            <w:tcMar>
              <w:top w:w="150" w:type="dxa"/>
              <w:left w:w="240" w:type="dxa"/>
              <w:bottom w:w="150" w:type="dxa"/>
              <w:right w:w="240" w:type="dxa"/>
            </w:tcMar>
            <w:vAlign w:val="center"/>
          </w:tcPr>
          <w:p w14:paraId="73E8C23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黑体" w:hAnsi="黑体" w:eastAsia="黑体" w:cs="黑体"/>
                <w:b/>
                <w:sz w:val="28"/>
                <w:szCs w:val="28"/>
                <w:lang w:eastAsia="zh-CN"/>
              </w:rPr>
            </w:pPr>
            <w:r>
              <w:rPr>
                <w:rFonts w:hint="eastAsia" w:ascii="黑体" w:hAnsi="黑体" w:eastAsia="黑体" w:cs="黑体"/>
                <w:b/>
                <w:color w:val="000000"/>
                <w:kern w:val="0"/>
                <w:sz w:val="28"/>
                <w:szCs w:val="28"/>
              </w:rPr>
              <w:t>评判</w:t>
            </w:r>
            <w:r>
              <w:rPr>
                <w:rFonts w:hint="eastAsia" w:ascii="黑体" w:hAnsi="黑体" w:eastAsia="黑体" w:cs="黑体"/>
                <w:b/>
                <w:color w:val="000000"/>
                <w:kern w:val="0"/>
                <w:sz w:val="28"/>
                <w:szCs w:val="28"/>
                <w:lang w:val="en-US" w:eastAsia="zh-CN"/>
              </w:rPr>
              <w:t>内容</w:t>
            </w:r>
          </w:p>
        </w:tc>
        <w:tc>
          <w:tcPr>
            <w:tcW w:w="4870" w:type="dxa"/>
            <w:shd w:val="clear" w:color="auto" w:fill="auto"/>
            <w:tcMar>
              <w:top w:w="150" w:type="dxa"/>
              <w:left w:w="240" w:type="dxa"/>
              <w:bottom w:w="150" w:type="dxa"/>
              <w:right w:w="240" w:type="dxa"/>
            </w:tcMar>
            <w:vAlign w:val="center"/>
          </w:tcPr>
          <w:p w14:paraId="71189FA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黑体" w:hAnsi="黑体" w:eastAsia="黑体" w:cs="黑体"/>
                <w:b/>
                <w:sz w:val="28"/>
                <w:szCs w:val="28"/>
              </w:rPr>
            </w:pPr>
            <w:r>
              <w:rPr>
                <w:rFonts w:hint="eastAsia" w:ascii="黑体" w:hAnsi="黑体" w:eastAsia="黑体" w:cs="黑体"/>
                <w:b/>
                <w:color w:val="000000"/>
                <w:kern w:val="0"/>
                <w:sz w:val="28"/>
                <w:szCs w:val="28"/>
              </w:rPr>
              <w:t>评分点</w:t>
            </w:r>
          </w:p>
        </w:tc>
        <w:tc>
          <w:tcPr>
            <w:tcW w:w="1233" w:type="dxa"/>
            <w:shd w:val="clear" w:color="auto" w:fill="auto"/>
            <w:tcMar>
              <w:top w:w="150" w:type="dxa"/>
              <w:left w:w="240" w:type="dxa"/>
              <w:bottom w:w="150" w:type="dxa"/>
              <w:right w:w="240" w:type="dxa"/>
            </w:tcMar>
            <w:vAlign w:val="center"/>
          </w:tcPr>
          <w:p w14:paraId="3F199B47">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黑体" w:hAnsi="黑体" w:eastAsia="黑体" w:cs="黑体"/>
                <w:b/>
                <w:snapToGrid w:val="0"/>
                <w:color w:val="000000"/>
                <w:kern w:val="0"/>
                <w:sz w:val="28"/>
                <w:szCs w:val="28"/>
                <w:lang w:val="en-US" w:eastAsia="zh-CN" w:bidi="ar-SA"/>
              </w:rPr>
            </w:pPr>
            <w:r>
              <w:rPr>
                <w:rFonts w:hint="eastAsia" w:ascii="黑体" w:hAnsi="黑体" w:eastAsia="黑体" w:cs="黑体"/>
                <w:b/>
                <w:color w:val="000000"/>
                <w:kern w:val="0"/>
                <w:sz w:val="28"/>
                <w:szCs w:val="28"/>
                <w:lang w:val="en-US" w:eastAsia="zh-CN"/>
              </w:rPr>
              <w:t>分值</w:t>
            </w:r>
          </w:p>
        </w:tc>
      </w:tr>
      <w:tr w14:paraId="4E835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517" w:hRule="atLeast"/>
          <w:jc w:val="center"/>
        </w:trPr>
        <w:tc>
          <w:tcPr>
            <w:tcW w:w="845" w:type="dxa"/>
            <w:shd w:val="clear" w:color="auto" w:fill="auto"/>
            <w:tcMar>
              <w:top w:w="150" w:type="dxa"/>
              <w:left w:w="0" w:type="dxa"/>
              <w:bottom w:w="150" w:type="dxa"/>
              <w:right w:w="240" w:type="dxa"/>
            </w:tcMar>
            <w:vAlign w:val="center"/>
          </w:tcPr>
          <w:p w14:paraId="1B1ED3C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bCs/>
                <w:color w:val="000000"/>
                <w:kern w:val="0"/>
                <w:sz w:val="28"/>
                <w:szCs w:val="28"/>
              </w:rPr>
              <w:t>1</w:t>
            </w:r>
          </w:p>
        </w:tc>
        <w:tc>
          <w:tcPr>
            <w:tcW w:w="1731" w:type="dxa"/>
            <w:shd w:val="clear" w:color="auto" w:fill="auto"/>
            <w:tcMar>
              <w:top w:w="150" w:type="dxa"/>
              <w:left w:w="240" w:type="dxa"/>
              <w:bottom w:w="150" w:type="dxa"/>
              <w:right w:w="240" w:type="dxa"/>
            </w:tcMar>
            <w:vAlign w:val="center"/>
          </w:tcPr>
          <w:p w14:paraId="12F7556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设计题目</w:t>
            </w:r>
          </w:p>
        </w:tc>
        <w:tc>
          <w:tcPr>
            <w:tcW w:w="4870" w:type="dxa"/>
            <w:shd w:val="clear" w:color="auto" w:fill="auto"/>
            <w:tcMar>
              <w:top w:w="150" w:type="dxa"/>
              <w:left w:w="240" w:type="dxa"/>
              <w:bottom w:w="150" w:type="dxa"/>
              <w:right w:w="0" w:type="dxa"/>
            </w:tcMar>
            <w:vAlign w:val="center"/>
          </w:tcPr>
          <w:p w14:paraId="753C598F">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default" w:ascii="Times New Roman" w:hAnsi="Times New Roman" w:eastAsia="仿宋_GB2312" w:cs="Times New Roman"/>
                <w:b w:val="0"/>
                <w:bCs w:val="0"/>
                <w:kern w:val="0"/>
                <w:sz w:val="28"/>
                <w:szCs w:val="28"/>
                <w:lang w:val="en-US" w:eastAsia="zh-CN" w:bidi="ar"/>
              </w:rPr>
            </w:pPr>
            <w:r>
              <w:rPr>
                <w:rFonts w:hint="default" w:ascii="Times New Roman" w:hAnsi="Times New Roman" w:eastAsia="仿宋_GB2312" w:cs="Times New Roman"/>
                <w:b w:val="0"/>
                <w:bCs w:val="0"/>
                <w:kern w:val="0"/>
                <w:sz w:val="28"/>
                <w:szCs w:val="28"/>
                <w:lang w:val="en-US" w:eastAsia="zh-CN" w:bidi="ar"/>
              </w:rPr>
              <w:t>确定与设计核心相对应的题目（5分）；题目需体现现代畜牧养殖绿色化、智能化和可持续发展（5分）</w:t>
            </w:r>
            <w:r>
              <w:rPr>
                <w:rFonts w:hint="eastAsia" w:ascii="Times New Roman" w:hAnsi="Times New Roman" w:eastAsia="仿宋_GB2312" w:cs="Times New Roman"/>
                <w:b w:val="0"/>
                <w:bCs w:val="0"/>
                <w:kern w:val="0"/>
                <w:sz w:val="28"/>
                <w:szCs w:val="28"/>
                <w:lang w:val="en-US" w:eastAsia="zh-CN" w:bidi="ar"/>
              </w:rPr>
              <w:t>。</w:t>
            </w:r>
          </w:p>
        </w:tc>
        <w:tc>
          <w:tcPr>
            <w:tcW w:w="1233" w:type="dxa"/>
            <w:shd w:val="clear" w:color="auto" w:fill="auto"/>
            <w:tcMar>
              <w:top w:w="150" w:type="dxa"/>
              <w:left w:w="240" w:type="dxa"/>
              <w:bottom w:w="150" w:type="dxa"/>
              <w:right w:w="0" w:type="dxa"/>
            </w:tcMar>
            <w:vAlign w:val="center"/>
          </w:tcPr>
          <w:p w14:paraId="26252A92">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10分</w:t>
            </w:r>
          </w:p>
        </w:tc>
      </w:tr>
      <w:tr w14:paraId="0367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76" w:hRule="atLeast"/>
          <w:jc w:val="center"/>
        </w:trPr>
        <w:tc>
          <w:tcPr>
            <w:tcW w:w="845" w:type="dxa"/>
            <w:shd w:val="clear" w:color="auto" w:fill="auto"/>
            <w:tcMar>
              <w:top w:w="150" w:type="dxa"/>
              <w:left w:w="0" w:type="dxa"/>
              <w:bottom w:w="150" w:type="dxa"/>
              <w:right w:w="240" w:type="dxa"/>
            </w:tcMar>
            <w:vAlign w:val="center"/>
          </w:tcPr>
          <w:p w14:paraId="492907F5">
            <w:pPr>
              <w:keepNext w:val="0"/>
              <w:keepLines w:val="0"/>
              <w:pageBreakBefore w:val="0"/>
              <w:widowControl/>
              <w:kinsoku w:val="0"/>
              <w:wordWrap/>
              <w:overflowPunct/>
              <w:topLinePunct w:val="0"/>
              <w:autoSpaceDE w:val="0"/>
              <w:autoSpaceDN w:val="0"/>
              <w:bidi w:val="0"/>
              <w:adjustRightInd w:val="0"/>
              <w:snapToGrid w:val="0"/>
              <w:spacing w:line="360" w:lineRule="exact"/>
              <w:ind w:right="0" w:rightChars="0"/>
              <w:jc w:val="center"/>
              <w:textAlignment w:val="baseline"/>
              <w:rPr>
                <w:rFonts w:hint="eastAsia" w:ascii="黑体" w:hAnsi="黑体" w:eastAsia="黑体" w:cs="黑体"/>
                <w:b/>
                <w:snapToGrid w:val="0"/>
                <w:color w:val="000000"/>
                <w:kern w:val="0"/>
                <w:sz w:val="28"/>
                <w:szCs w:val="28"/>
                <w:lang w:val="en-US" w:eastAsia="zh-CN" w:bidi="ar-SA"/>
              </w:rPr>
            </w:pPr>
            <w:r>
              <w:rPr>
                <w:rFonts w:hint="eastAsia" w:ascii="黑体" w:hAnsi="黑体" w:eastAsia="黑体" w:cs="黑体"/>
                <w:b/>
                <w:color w:val="000000"/>
                <w:kern w:val="0"/>
                <w:sz w:val="28"/>
                <w:szCs w:val="28"/>
              </w:rPr>
              <w:t>序号</w:t>
            </w:r>
          </w:p>
        </w:tc>
        <w:tc>
          <w:tcPr>
            <w:tcW w:w="1731" w:type="dxa"/>
            <w:shd w:val="clear" w:color="auto" w:fill="auto"/>
            <w:tcMar>
              <w:top w:w="150" w:type="dxa"/>
              <w:left w:w="240" w:type="dxa"/>
              <w:bottom w:w="150" w:type="dxa"/>
              <w:right w:w="240" w:type="dxa"/>
            </w:tcMar>
            <w:vAlign w:val="center"/>
          </w:tcPr>
          <w:p w14:paraId="561C58C3">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黑体" w:hAnsi="黑体" w:eastAsia="黑体" w:cs="黑体"/>
                <w:b/>
                <w:snapToGrid w:val="0"/>
                <w:color w:val="000000"/>
                <w:kern w:val="0"/>
                <w:sz w:val="28"/>
                <w:szCs w:val="28"/>
                <w:lang w:val="en-US" w:eastAsia="zh-CN" w:bidi="ar-SA"/>
              </w:rPr>
            </w:pPr>
            <w:r>
              <w:rPr>
                <w:rFonts w:hint="eastAsia" w:ascii="黑体" w:hAnsi="黑体" w:eastAsia="黑体" w:cs="黑体"/>
                <w:b/>
                <w:color w:val="000000"/>
                <w:kern w:val="0"/>
                <w:sz w:val="28"/>
                <w:szCs w:val="28"/>
              </w:rPr>
              <w:t>评判</w:t>
            </w:r>
            <w:r>
              <w:rPr>
                <w:rFonts w:hint="eastAsia" w:ascii="黑体" w:hAnsi="黑体" w:eastAsia="黑体" w:cs="黑体"/>
                <w:b/>
                <w:color w:val="000000"/>
                <w:kern w:val="0"/>
                <w:sz w:val="28"/>
                <w:szCs w:val="28"/>
                <w:lang w:val="en-US" w:eastAsia="zh-CN"/>
              </w:rPr>
              <w:t>内容</w:t>
            </w:r>
          </w:p>
        </w:tc>
        <w:tc>
          <w:tcPr>
            <w:tcW w:w="4870" w:type="dxa"/>
            <w:shd w:val="clear" w:color="auto" w:fill="auto"/>
            <w:tcMar>
              <w:top w:w="150" w:type="dxa"/>
              <w:left w:w="240" w:type="dxa"/>
              <w:bottom w:w="150" w:type="dxa"/>
              <w:right w:w="0" w:type="dxa"/>
            </w:tcMar>
            <w:vAlign w:val="center"/>
          </w:tcPr>
          <w:p w14:paraId="2337F151">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黑体" w:hAnsi="黑体" w:eastAsia="黑体" w:cs="黑体"/>
                <w:b/>
                <w:snapToGrid w:val="0"/>
                <w:color w:val="000000"/>
                <w:kern w:val="0"/>
                <w:sz w:val="28"/>
                <w:szCs w:val="28"/>
                <w:lang w:val="en-US" w:eastAsia="zh-CN" w:bidi="ar-SA"/>
              </w:rPr>
            </w:pPr>
            <w:r>
              <w:rPr>
                <w:rFonts w:hint="eastAsia" w:ascii="黑体" w:hAnsi="黑体" w:eastAsia="黑体" w:cs="黑体"/>
                <w:b/>
                <w:color w:val="000000"/>
                <w:kern w:val="0"/>
                <w:sz w:val="28"/>
                <w:szCs w:val="28"/>
              </w:rPr>
              <w:t>评分点</w:t>
            </w:r>
          </w:p>
        </w:tc>
        <w:tc>
          <w:tcPr>
            <w:tcW w:w="1233" w:type="dxa"/>
            <w:shd w:val="clear" w:color="auto" w:fill="auto"/>
            <w:tcMar>
              <w:top w:w="150" w:type="dxa"/>
              <w:left w:w="240" w:type="dxa"/>
              <w:bottom w:w="150" w:type="dxa"/>
              <w:right w:w="0" w:type="dxa"/>
            </w:tcMar>
            <w:vAlign w:val="center"/>
          </w:tcPr>
          <w:p w14:paraId="0B02508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黑体" w:hAnsi="黑体" w:eastAsia="黑体" w:cs="黑体"/>
                <w:b/>
                <w:snapToGrid w:val="0"/>
                <w:color w:val="000000"/>
                <w:kern w:val="0"/>
                <w:sz w:val="28"/>
                <w:szCs w:val="28"/>
                <w:lang w:val="en-US" w:eastAsia="zh-CN" w:bidi="ar-SA"/>
              </w:rPr>
            </w:pPr>
            <w:r>
              <w:rPr>
                <w:rFonts w:hint="eastAsia" w:ascii="黑体" w:hAnsi="黑体" w:eastAsia="黑体" w:cs="黑体"/>
                <w:b/>
                <w:color w:val="000000"/>
                <w:kern w:val="0"/>
                <w:sz w:val="28"/>
                <w:szCs w:val="28"/>
                <w:lang w:val="en-US" w:eastAsia="zh-CN"/>
              </w:rPr>
              <w:t>分值</w:t>
            </w:r>
          </w:p>
        </w:tc>
      </w:tr>
      <w:tr w14:paraId="534D4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931" w:hRule="atLeast"/>
          <w:jc w:val="center"/>
        </w:trPr>
        <w:tc>
          <w:tcPr>
            <w:tcW w:w="845" w:type="dxa"/>
            <w:shd w:val="clear" w:color="auto" w:fill="auto"/>
            <w:tcMar>
              <w:top w:w="150" w:type="dxa"/>
              <w:left w:w="0" w:type="dxa"/>
              <w:bottom w:w="150" w:type="dxa"/>
              <w:right w:w="240" w:type="dxa"/>
            </w:tcMar>
            <w:vAlign w:val="center"/>
          </w:tcPr>
          <w:p w14:paraId="0CCC272D">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bidi="ar"/>
              </w:rPr>
            </w:pPr>
            <w:r>
              <w:rPr>
                <w:rFonts w:hint="eastAsia" w:ascii="Times New Roman" w:hAnsi="Times New Roman" w:eastAsia="仿宋_GB2312" w:cs="Times New Roman"/>
                <w:color w:val="000000"/>
                <w:kern w:val="0"/>
                <w:sz w:val="28"/>
                <w:szCs w:val="28"/>
                <w:lang w:val="en-US" w:eastAsia="zh-CN"/>
              </w:rPr>
              <w:t>2</w:t>
            </w:r>
          </w:p>
        </w:tc>
        <w:tc>
          <w:tcPr>
            <w:tcW w:w="1731" w:type="dxa"/>
            <w:shd w:val="clear" w:color="auto" w:fill="auto"/>
            <w:tcMar>
              <w:top w:w="150" w:type="dxa"/>
              <w:left w:w="240" w:type="dxa"/>
              <w:bottom w:w="150" w:type="dxa"/>
              <w:right w:w="240" w:type="dxa"/>
            </w:tcMar>
            <w:vAlign w:val="center"/>
          </w:tcPr>
          <w:p w14:paraId="08C8A524">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仿宋_GB2312" w:cs="Times New Roman"/>
                <w:kern w:val="0"/>
                <w:sz w:val="28"/>
                <w:szCs w:val="28"/>
                <w:lang w:val="en-US" w:eastAsia="zh-CN" w:bidi="ar"/>
              </w:rPr>
            </w:pPr>
            <w:r>
              <w:rPr>
                <w:rFonts w:hint="eastAsia" w:ascii="Times New Roman" w:hAnsi="Times New Roman" w:eastAsia="仿宋_GB2312" w:cs="Times New Roman"/>
                <w:kern w:val="0"/>
                <w:sz w:val="28"/>
                <w:szCs w:val="28"/>
                <w:lang w:val="en-US" w:eastAsia="zh-CN" w:bidi="ar"/>
              </w:rPr>
              <w:t>设计方案</w:t>
            </w:r>
          </w:p>
        </w:tc>
        <w:tc>
          <w:tcPr>
            <w:tcW w:w="4870" w:type="dxa"/>
            <w:shd w:val="clear" w:color="auto" w:fill="auto"/>
            <w:tcMar>
              <w:top w:w="150" w:type="dxa"/>
              <w:left w:w="240" w:type="dxa"/>
              <w:bottom w:w="150" w:type="dxa"/>
              <w:right w:w="0" w:type="dxa"/>
            </w:tcMar>
            <w:vAlign w:val="center"/>
          </w:tcPr>
          <w:p w14:paraId="2695436F">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default" w:ascii="Times New Roman" w:hAnsi="Times New Roman" w:eastAsia="仿宋_GB2312" w:cs="Times New Roman"/>
                <w:b w:val="0"/>
                <w:bCs w:val="0"/>
                <w:snapToGrid w:val="0"/>
                <w:color w:val="00000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有明确规划建设目标和设计理念</w:t>
            </w:r>
            <w:r>
              <w:rPr>
                <w:rFonts w:hint="default" w:ascii="Times New Roman" w:hAnsi="Times New Roman" w:eastAsia="仿宋_GB2312" w:cs="Times New Roman"/>
                <w:b w:val="0"/>
                <w:bCs w:val="0"/>
                <w:kern w:val="0"/>
                <w:sz w:val="28"/>
                <w:szCs w:val="28"/>
                <w:lang w:val="en-US" w:eastAsia="zh-CN" w:bidi="ar"/>
              </w:rPr>
              <w:t>（</w:t>
            </w:r>
            <w:r>
              <w:rPr>
                <w:rFonts w:hint="eastAsia" w:ascii="Times New Roman" w:hAnsi="Times New Roman" w:eastAsia="仿宋_GB2312" w:cs="Times New Roman"/>
                <w:b w:val="0"/>
                <w:bCs w:val="0"/>
                <w:kern w:val="0"/>
                <w:sz w:val="28"/>
                <w:szCs w:val="28"/>
                <w:lang w:val="en-US" w:eastAsia="zh-CN" w:bidi="ar"/>
              </w:rPr>
              <w:t>5</w:t>
            </w:r>
            <w:r>
              <w:rPr>
                <w:rFonts w:hint="default" w:ascii="Times New Roman" w:hAnsi="Times New Roman" w:eastAsia="仿宋_GB2312" w:cs="Times New Roman"/>
                <w:b w:val="0"/>
                <w:bCs w:val="0"/>
                <w:kern w:val="0"/>
                <w:sz w:val="28"/>
                <w:szCs w:val="28"/>
                <w:lang w:val="en-US" w:eastAsia="zh-CN" w:bidi="ar"/>
              </w:rPr>
              <w:t>分）；项目建设条件</w:t>
            </w:r>
            <w:r>
              <w:rPr>
                <w:rFonts w:hint="eastAsia" w:ascii="Times New Roman" w:hAnsi="Times New Roman" w:eastAsia="仿宋_GB2312" w:cs="Times New Roman"/>
                <w:b w:val="0"/>
                <w:bCs w:val="0"/>
                <w:kern w:val="0"/>
                <w:sz w:val="28"/>
                <w:szCs w:val="28"/>
                <w:lang w:val="en-US" w:eastAsia="zh-CN" w:bidi="ar"/>
              </w:rPr>
              <w:t>可体现</w:t>
            </w:r>
            <w:r>
              <w:rPr>
                <w:rFonts w:hint="default" w:ascii="Times New Roman" w:hAnsi="Times New Roman" w:eastAsia="仿宋_GB2312" w:cs="Times New Roman"/>
                <w:b w:val="0"/>
                <w:bCs w:val="0"/>
                <w:kern w:val="0"/>
                <w:sz w:val="28"/>
                <w:szCs w:val="28"/>
                <w:lang w:val="en-US" w:eastAsia="zh-CN" w:bidi="ar"/>
              </w:rPr>
              <w:t>地理位置</w:t>
            </w:r>
            <w:r>
              <w:rPr>
                <w:rFonts w:hint="eastAsia" w:ascii="Times New Roman" w:hAnsi="Times New Roman" w:eastAsia="仿宋_GB2312" w:cs="Times New Roman"/>
                <w:b w:val="0"/>
                <w:bCs w:val="0"/>
                <w:kern w:val="0"/>
                <w:sz w:val="28"/>
                <w:szCs w:val="28"/>
                <w:lang w:val="en-US" w:eastAsia="zh-CN" w:bidi="ar"/>
              </w:rPr>
              <w:t>、</w:t>
            </w:r>
            <w:r>
              <w:rPr>
                <w:rFonts w:hint="default" w:ascii="Times New Roman" w:hAnsi="Times New Roman" w:eastAsia="仿宋_GB2312" w:cs="Times New Roman"/>
                <w:b w:val="0"/>
                <w:bCs w:val="0"/>
                <w:kern w:val="0"/>
                <w:sz w:val="28"/>
                <w:szCs w:val="28"/>
                <w:lang w:val="en-US" w:eastAsia="zh-CN" w:bidi="ar"/>
              </w:rPr>
              <w:t>自然条件</w:t>
            </w:r>
            <w:r>
              <w:rPr>
                <w:rFonts w:hint="eastAsia" w:ascii="Times New Roman" w:hAnsi="Times New Roman" w:eastAsia="仿宋_GB2312" w:cs="Times New Roman"/>
                <w:b w:val="0"/>
                <w:bCs w:val="0"/>
                <w:kern w:val="0"/>
                <w:sz w:val="28"/>
                <w:szCs w:val="28"/>
                <w:lang w:val="en-US" w:eastAsia="zh-CN" w:bidi="ar"/>
              </w:rPr>
              <w:t>等要素（10分）</w:t>
            </w:r>
            <w:r>
              <w:rPr>
                <w:rFonts w:hint="default" w:ascii="Times New Roman" w:hAnsi="Times New Roman" w:eastAsia="仿宋_GB2312" w:cs="Times New Roman"/>
                <w:b w:val="0"/>
                <w:bCs w:val="0"/>
                <w:kern w:val="0"/>
                <w:sz w:val="28"/>
                <w:szCs w:val="28"/>
                <w:lang w:val="en-US" w:eastAsia="zh-CN" w:bidi="ar"/>
              </w:rPr>
              <w:t>；畜牧场</w:t>
            </w:r>
            <w:r>
              <w:rPr>
                <w:rFonts w:hint="eastAsia" w:ascii="仿宋_GB2312" w:hAnsi="仿宋_GB2312" w:eastAsia="仿宋_GB2312" w:cs="仿宋_GB2312"/>
                <w:color w:val="000000"/>
                <w:kern w:val="0"/>
                <w:sz w:val="28"/>
                <w:szCs w:val="28"/>
              </w:rPr>
              <w:t>基本组成</w:t>
            </w:r>
            <w:r>
              <w:rPr>
                <w:rFonts w:hint="eastAsia" w:ascii="仿宋_GB2312" w:hAnsi="仿宋_GB2312" w:eastAsia="仿宋_GB2312" w:cs="仿宋_GB2312"/>
                <w:color w:val="000000"/>
                <w:kern w:val="0"/>
                <w:sz w:val="28"/>
                <w:szCs w:val="28"/>
                <w:lang w:val="en-US" w:eastAsia="zh-CN"/>
              </w:rPr>
              <w:t>完整（</w:t>
            </w:r>
            <w:r>
              <w:rPr>
                <w:rFonts w:hint="eastAsia" w:ascii="Times New Roman" w:hAnsi="Times New Roman" w:eastAsia="仿宋_GB2312" w:cs="Times New Roman"/>
                <w:b w:val="0"/>
                <w:bCs w:val="0"/>
                <w:kern w:val="0"/>
                <w:sz w:val="28"/>
                <w:szCs w:val="28"/>
                <w:lang w:val="en-US" w:eastAsia="zh-CN" w:bidi="ar"/>
              </w:rPr>
              <w:t>10</w:t>
            </w:r>
            <w:r>
              <w:rPr>
                <w:rFonts w:hint="eastAsia" w:ascii="仿宋_GB2312" w:hAnsi="仿宋_GB2312" w:eastAsia="仿宋_GB2312" w:cs="仿宋_GB2312"/>
                <w:color w:val="000000"/>
                <w:kern w:val="0"/>
                <w:sz w:val="28"/>
                <w:szCs w:val="28"/>
                <w:lang w:val="en-US" w:eastAsia="zh-CN"/>
              </w:rPr>
              <w:t>分）</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功能区布局</w:t>
            </w:r>
            <w:r>
              <w:rPr>
                <w:rFonts w:hint="eastAsia" w:ascii="仿宋_GB2312" w:hAnsi="仿宋_GB2312" w:eastAsia="仿宋_GB2312" w:cs="仿宋_GB2312"/>
                <w:color w:val="000000"/>
                <w:kern w:val="0"/>
                <w:sz w:val="28"/>
                <w:szCs w:val="28"/>
                <w:lang w:val="en-US" w:eastAsia="zh-CN"/>
              </w:rPr>
              <w:t>合理、功能清晰（</w:t>
            </w:r>
            <w:r>
              <w:rPr>
                <w:rFonts w:hint="eastAsia" w:ascii="Times New Roman" w:hAnsi="Times New Roman" w:eastAsia="仿宋_GB2312" w:cs="Times New Roman"/>
                <w:b w:val="0"/>
                <w:bCs w:val="0"/>
                <w:kern w:val="0"/>
                <w:sz w:val="28"/>
                <w:szCs w:val="28"/>
                <w:lang w:val="en-US" w:eastAsia="zh-CN" w:bidi="ar"/>
              </w:rPr>
              <w:t>15</w:t>
            </w:r>
            <w:r>
              <w:rPr>
                <w:rFonts w:hint="eastAsia" w:ascii="仿宋_GB2312" w:hAnsi="仿宋_GB2312" w:eastAsia="仿宋_GB2312" w:cs="仿宋_GB2312"/>
                <w:color w:val="000000"/>
                <w:kern w:val="0"/>
                <w:sz w:val="28"/>
                <w:szCs w:val="28"/>
                <w:lang w:val="en-US" w:eastAsia="zh-CN"/>
              </w:rPr>
              <w:t>分）；</w:t>
            </w:r>
            <w:r>
              <w:rPr>
                <w:rFonts w:hint="eastAsia" w:ascii="Times New Roman" w:hAnsi="Times New Roman" w:eastAsia="仿宋_GB2312" w:cs="Times New Roman"/>
                <w:b w:val="0"/>
                <w:bCs w:val="0"/>
                <w:kern w:val="0"/>
                <w:sz w:val="28"/>
                <w:szCs w:val="28"/>
                <w:lang w:val="en-US" w:eastAsia="zh-CN" w:bidi="ar"/>
              </w:rPr>
              <w:t>农牧结合设计内容完整</w:t>
            </w:r>
            <w:r>
              <w:rPr>
                <w:rFonts w:hint="default" w:ascii="Times New Roman" w:hAnsi="Times New Roman" w:eastAsia="仿宋_GB2312" w:cs="Times New Roman"/>
                <w:b w:val="0"/>
                <w:bCs w:val="0"/>
                <w:kern w:val="0"/>
                <w:sz w:val="28"/>
                <w:szCs w:val="28"/>
                <w:lang w:val="en-US" w:eastAsia="zh-CN" w:bidi="ar"/>
              </w:rPr>
              <w:t>（</w:t>
            </w:r>
            <w:r>
              <w:rPr>
                <w:rFonts w:hint="eastAsia" w:ascii="Times New Roman" w:hAnsi="Times New Roman" w:eastAsia="仿宋_GB2312" w:cs="Times New Roman"/>
                <w:b w:val="0"/>
                <w:bCs w:val="0"/>
                <w:kern w:val="0"/>
                <w:sz w:val="28"/>
                <w:szCs w:val="28"/>
                <w:lang w:val="en-US" w:eastAsia="zh-CN" w:bidi="ar"/>
              </w:rPr>
              <w:t>10</w:t>
            </w:r>
            <w:r>
              <w:rPr>
                <w:rFonts w:hint="default" w:ascii="Times New Roman" w:hAnsi="Times New Roman" w:eastAsia="仿宋_GB2312" w:cs="Times New Roman"/>
                <w:b w:val="0"/>
                <w:bCs w:val="0"/>
                <w:kern w:val="0"/>
                <w:sz w:val="28"/>
                <w:szCs w:val="28"/>
                <w:lang w:val="en-US" w:eastAsia="zh-CN" w:bidi="ar"/>
              </w:rPr>
              <w:t>分）</w:t>
            </w:r>
            <w:r>
              <w:rPr>
                <w:rFonts w:hint="eastAsia" w:ascii="Times New Roman" w:hAnsi="Times New Roman" w:eastAsia="仿宋_GB2312" w:cs="Times New Roman"/>
                <w:b w:val="0"/>
                <w:bCs w:val="0"/>
                <w:kern w:val="0"/>
                <w:sz w:val="28"/>
                <w:szCs w:val="28"/>
                <w:lang w:val="en-US" w:eastAsia="zh-CN" w:bidi="ar"/>
              </w:rPr>
              <w:t>；经济效益分析合理（5分）。</w:t>
            </w:r>
          </w:p>
        </w:tc>
        <w:tc>
          <w:tcPr>
            <w:tcW w:w="1233" w:type="dxa"/>
            <w:shd w:val="clear" w:color="auto" w:fill="auto"/>
            <w:tcMar>
              <w:top w:w="150" w:type="dxa"/>
              <w:left w:w="240" w:type="dxa"/>
              <w:bottom w:w="150" w:type="dxa"/>
              <w:right w:w="0" w:type="dxa"/>
            </w:tcMar>
            <w:vAlign w:val="center"/>
          </w:tcPr>
          <w:p w14:paraId="387BC461">
            <w:pPr>
              <w:keepNext w:val="0"/>
              <w:keepLines w:val="0"/>
              <w:widowControl/>
              <w:suppressLineNumbers w:val="0"/>
              <w:snapToGrid w:val="0"/>
              <w:spacing w:line="240" w:lineRule="auto"/>
              <w:ind w:left="0" w:leftChars="0" w:right="0" w:rightChars="0" w:firstLine="0" w:firstLineChars="0"/>
              <w:jc w:val="both"/>
              <w:rPr>
                <w:rFonts w:hint="eastAsia" w:ascii="Times New Roman" w:hAnsi="Times New Roman" w:eastAsia="仿宋_GB2312" w:cs="Times New Roman"/>
                <w:bCs/>
                <w:snapToGrid w:val="0"/>
                <w:color w:val="000000"/>
                <w:kern w:val="0"/>
                <w:sz w:val="28"/>
                <w:szCs w:val="28"/>
                <w:lang w:val="en-US" w:eastAsia="zh-CN" w:bidi="ar-SA"/>
              </w:rPr>
            </w:pPr>
            <w:r>
              <w:rPr>
                <w:rFonts w:hint="eastAsia" w:ascii="Times New Roman" w:hAnsi="Times New Roman" w:eastAsia="仿宋_GB2312" w:cs="Times New Roman"/>
                <w:kern w:val="0"/>
                <w:sz w:val="28"/>
                <w:szCs w:val="28"/>
                <w:lang w:val="en-US" w:eastAsia="zh-CN" w:bidi="ar"/>
              </w:rPr>
              <w:t>55</w:t>
            </w:r>
            <w:r>
              <w:rPr>
                <w:rFonts w:hint="default" w:ascii="Times New Roman" w:hAnsi="Times New Roman" w:eastAsia="仿宋_GB2312" w:cs="Times New Roman"/>
                <w:kern w:val="0"/>
                <w:sz w:val="28"/>
                <w:szCs w:val="28"/>
                <w:lang w:val="en-US" w:eastAsia="zh-CN" w:bidi="ar"/>
              </w:rPr>
              <w:t>分</w:t>
            </w:r>
          </w:p>
        </w:tc>
      </w:tr>
      <w:tr w14:paraId="3C0A5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619" w:hRule="atLeast"/>
          <w:jc w:val="center"/>
        </w:trPr>
        <w:tc>
          <w:tcPr>
            <w:tcW w:w="845" w:type="dxa"/>
            <w:shd w:val="clear" w:color="auto" w:fill="auto"/>
            <w:tcMar>
              <w:top w:w="150" w:type="dxa"/>
              <w:left w:w="0" w:type="dxa"/>
              <w:bottom w:w="150" w:type="dxa"/>
              <w:right w:w="240" w:type="dxa"/>
            </w:tcMar>
            <w:vAlign w:val="center"/>
          </w:tcPr>
          <w:p w14:paraId="0A2C961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eastAsia="仿宋_GB2312" w:cs="Times New Roman"/>
                <w:kern w:val="0"/>
                <w:sz w:val="28"/>
                <w:szCs w:val="28"/>
                <w:lang w:val="en-US" w:eastAsia="zh-CN" w:bidi="ar"/>
              </w:rPr>
            </w:pPr>
            <w:r>
              <w:rPr>
                <w:rFonts w:hint="eastAsia" w:ascii="Times New Roman" w:hAnsi="Times New Roman" w:eastAsia="仿宋_GB2312" w:cs="Times New Roman"/>
                <w:color w:val="000000"/>
                <w:kern w:val="0"/>
                <w:sz w:val="28"/>
                <w:szCs w:val="28"/>
                <w:lang w:val="en-US" w:eastAsia="zh-CN"/>
              </w:rPr>
              <w:t>3</w:t>
            </w:r>
          </w:p>
        </w:tc>
        <w:tc>
          <w:tcPr>
            <w:tcW w:w="1731" w:type="dxa"/>
            <w:shd w:val="clear" w:color="auto" w:fill="auto"/>
            <w:tcMar>
              <w:top w:w="150" w:type="dxa"/>
              <w:left w:w="240" w:type="dxa"/>
              <w:bottom w:w="150" w:type="dxa"/>
              <w:right w:w="240" w:type="dxa"/>
            </w:tcMar>
            <w:vAlign w:val="center"/>
          </w:tcPr>
          <w:p w14:paraId="7F9BEBE0">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仿宋_GB2312" w:cs="Times New Roman"/>
                <w:kern w:val="0"/>
                <w:sz w:val="28"/>
                <w:szCs w:val="28"/>
                <w:lang w:val="en-US" w:eastAsia="zh-CN" w:bidi="ar"/>
              </w:rPr>
            </w:pPr>
            <w:r>
              <w:rPr>
                <w:rFonts w:hint="eastAsia" w:ascii="Times New Roman" w:hAnsi="Times New Roman" w:eastAsia="仿宋_GB2312" w:cs="Times New Roman"/>
                <w:kern w:val="0"/>
                <w:sz w:val="28"/>
                <w:szCs w:val="28"/>
                <w:lang w:val="en-US" w:eastAsia="zh-CN" w:bidi="ar"/>
              </w:rPr>
              <w:t>作品展示</w:t>
            </w:r>
          </w:p>
        </w:tc>
        <w:tc>
          <w:tcPr>
            <w:tcW w:w="4870" w:type="dxa"/>
            <w:shd w:val="clear" w:color="auto" w:fill="auto"/>
            <w:tcMar>
              <w:top w:w="150" w:type="dxa"/>
              <w:left w:w="240" w:type="dxa"/>
              <w:bottom w:w="150" w:type="dxa"/>
              <w:right w:w="0" w:type="dxa"/>
            </w:tcMar>
            <w:vAlign w:val="center"/>
          </w:tcPr>
          <w:p w14:paraId="5E0E432E">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default" w:ascii="Times New Roman" w:hAnsi="Times New Roman" w:eastAsia="仿宋_GB2312" w:cs="Times New Roman"/>
                <w:b w:val="0"/>
                <w:bCs w:val="0"/>
                <w:kern w:val="0"/>
                <w:sz w:val="28"/>
                <w:szCs w:val="28"/>
                <w:lang w:val="en-US" w:eastAsia="zh-CN" w:bidi="ar"/>
              </w:rPr>
            </w:pPr>
            <w:r>
              <w:rPr>
                <w:rFonts w:hint="eastAsia" w:ascii="仿宋_GB2312" w:hAnsi="仿宋_GB2312" w:eastAsia="仿宋_GB2312" w:cs="仿宋_GB2312"/>
                <w:color w:val="000000"/>
                <w:kern w:val="0"/>
                <w:sz w:val="28"/>
                <w:szCs w:val="28"/>
                <w:lang w:val="en-US" w:eastAsia="zh-CN"/>
              </w:rPr>
              <w:t>作品展示效果（10分）；作品可体现</w:t>
            </w:r>
            <w:r>
              <w:rPr>
                <w:rFonts w:hint="eastAsia" w:ascii="仿宋_GB2312" w:hAnsi="仿宋_GB2312" w:eastAsia="仿宋_GB2312" w:cs="仿宋_GB2312"/>
                <w:color w:val="000000"/>
                <w:kern w:val="0"/>
                <w:sz w:val="28"/>
                <w:szCs w:val="28"/>
              </w:rPr>
              <w:t>畜场基本组成</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rPr>
              <w:t>朝向</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地势等设计要素</w:t>
            </w:r>
            <w:r>
              <w:rPr>
                <w:rFonts w:hint="default" w:ascii="Times New Roman" w:hAnsi="Times New Roman" w:eastAsia="仿宋_GB2312" w:cs="Times New Roman"/>
                <w:b w:val="0"/>
                <w:bCs w:val="0"/>
                <w:kern w:val="0"/>
                <w:sz w:val="28"/>
                <w:szCs w:val="28"/>
                <w:lang w:val="en-US" w:eastAsia="zh-CN" w:bidi="ar"/>
              </w:rPr>
              <w:t>（</w:t>
            </w:r>
            <w:r>
              <w:rPr>
                <w:rFonts w:hint="eastAsia" w:ascii="Times New Roman" w:hAnsi="Times New Roman" w:eastAsia="仿宋_GB2312" w:cs="Times New Roman"/>
                <w:b w:val="0"/>
                <w:bCs w:val="0"/>
                <w:kern w:val="0"/>
                <w:sz w:val="28"/>
                <w:szCs w:val="28"/>
                <w:lang w:val="en-US" w:eastAsia="zh-CN" w:bidi="ar"/>
              </w:rPr>
              <w:t>10</w:t>
            </w:r>
            <w:r>
              <w:rPr>
                <w:rFonts w:hint="default" w:ascii="Times New Roman" w:hAnsi="Times New Roman" w:eastAsia="仿宋_GB2312" w:cs="Times New Roman"/>
                <w:b w:val="0"/>
                <w:bCs w:val="0"/>
                <w:kern w:val="0"/>
                <w:sz w:val="28"/>
                <w:szCs w:val="28"/>
                <w:lang w:val="en-US" w:eastAsia="zh-CN" w:bidi="ar"/>
              </w:rPr>
              <w:t>分）；规划图纸</w:t>
            </w:r>
            <w:r>
              <w:rPr>
                <w:rFonts w:hint="eastAsia" w:ascii="Times New Roman" w:hAnsi="Times New Roman" w:eastAsia="仿宋_GB2312" w:cs="Times New Roman"/>
                <w:b w:val="0"/>
                <w:bCs w:val="0"/>
                <w:kern w:val="0"/>
                <w:sz w:val="28"/>
                <w:szCs w:val="28"/>
                <w:lang w:val="en-US" w:eastAsia="zh-CN" w:bidi="ar"/>
              </w:rPr>
              <w:t>规范美观</w:t>
            </w:r>
            <w:r>
              <w:rPr>
                <w:rFonts w:hint="default" w:ascii="Times New Roman" w:hAnsi="Times New Roman" w:eastAsia="仿宋_GB2312" w:cs="Times New Roman"/>
                <w:b w:val="0"/>
                <w:bCs w:val="0"/>
                <w:kern w:val="0"/>
                <w:sz w:val="28"/>
                <w:szCs w:val="28"/>
                <w:lang w:val="en-US" w:eastAsia="zh-CN" w:bidi="ar"/>
              </w:rPr>
              <w:t>（</w:t>
            </w:r>
            <w:r>
              <w:rPr>
                <w:rFonts w:hint="eastAsia" w:ascii="Times New Roman" w:hAnsi="Times New Roman" w:eastAsia="仿宋_GB2312" w:cs="Times New Roman"/>
                <w:b w:val="0"/>
                <w:bCs w:val="0"/>
                <w:kern w:val="0"/>
                <w:sz w:val="28"/>
                <w:szCs w:val="28"/>
                <w:lang w:val="en-US" w:eastAsia="zh-CN" w:bidi="ar"/>
              </w:rPr>
              <w:t>5</w:t>
            </w:r>
            <w:r>
              <w:rPr>
                <w:rFonts w:hint="default" w:ascii="Times New Roman" w:hAnsi="Times New Roman" w:eastAsia="仿宋_GB2312" w:cs="Times New Roman"/>
                <w:b w:val="0"/>
                <w:bCs w:val="0"/>
                <w:kern w:val="0"/>
                <w:sz w:val="28"/>
                <w:szCs w:val="28"/>
                <w:lang w:val="en-US" w:eastAsia="zh-CN" w:bidi="ar"/>
              </w:rPr>
              <w:t>分）</w:t>
            </w:r>
            <w:r>
              <w:rPr>
                <w:rFonts w:hint="eastAsia" w:ascii="Times New Roman" w:hAnsi="Times New Roman" w:eastAsia="仿宋_GB2312" w:cs="Times New Roman"/>
                <w:b w:val="0"/>
                <w:bCs w:val="0"/>
                <w:kern w:val="0"/>
                <w:sz w:val="28"/>
                <w:szCs w:val="28"/>
                <w:lang w:val="en-US" w:eastAsia="zh-CN" w:bidi="ar"/>
              </w:rPr>
              <w:t>。</w:t>
            </w:r>
          </w:p>
        </w:tc>
        <w:tc>
          <w:tcPr>
            <w:tcW w:w="1233" w:type="dxa"/>
            <w:shd w:val="clear" w:color="auto" w:fill="auto"/>
            <w:tcMar>
              <w:top w:w="150" w:type="dxa"/>
              <w:left w:w="240" w:type="dxa"/>
              <w:bottom w:w="150" w:type="dxa"/>
              <w:right w:w="0" w:type="dxa"/>
            </w:tcMar>
            <w:vAlign w:val="center"/>
          </w:tcPr>
          <w:p w14:paraId="5834DC86">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仿宋_GB2312" w:cs="Times New Roman"/>
                <w:bCs/>
                <w:color w:val="000000"/>
                <w:kern w:val="0"/>
                <w:sz w:val="28"/>
                <w:szCs w:val="28"/>
                <w:lang w:val="en-US" w:eastAsia="zh-CN"/>
              </w:rPr>
            </w:pPr>
            <w:r>
              <w:rPr>
                <w:rFonts w:hint="eastAsia" w:ascii="Times New Roman" w:hAnsi="Times New Roman" w:eastAsia="仿宋_GB2312" w:cs="Times New Roman"/>
                <w:kern w:val="0"/>
                <w:sz w:val="28"/>
                <w:szCs w:val="28"/>
                <w:lang w:val="en-US" w:eastAsia="zh-CN" w:bidi="ar"/>
              </w:rPr>
              <w:t>25</w:t>
            </w:r>
            <w:r>
              <w:rPr>
                <w:rFonts w:hint="default" w:ascii="Times New Roman" w:hAnsi="Times New Roman" w:eastAsia="仿宋_GB2312" w:cs="Times New Roman"/>
                <w:kern w:val="0"/>
                <w:sz w:val="28"/>
                <w:szCs w:val="28"/>
                <w:lang w:val="en-US" w:eastAsia="zh-CN" w:bidi="ar"/>
              </w:rPr>
              <w:t>分</w:t>
            </w:r>
          </w:p>
        </w:tc>
      </w:tr>
      <w:tr w14:paraId="6132A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946" w:hRule="atLeast"/>
          <w:jc w:val="center"/>
        </w:trPr>
        <w:tc>
          <w:tcPr>
            <w:tcW w:w="845" w:type="dxa"/>
            <w:shd w:val="clear" w:color="auto" w:fill="auto"/>
            <w:tcMar>
              <w:top w:w="150" w:type="dxa"/>
              <w:left w:w="0" w:type="dxa"/>
              <w:bottom w:w="150" w:type="dxa"/>
              <w:right w:w="240" w:type="dxa"/>
            </w:tcMar>
            <w:vAlign w:val="center"/>
          </w:tcPr>
          <w:p w14:paraId="3818925E">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kern w:val="0"/>
                <w:sz w:val="28"/>
                <w:szCs w:val="28"/>
                <w:lang w:val="en-US" w:eastAsia="zh-CN" w:bidi="ar"/>
              </w:rPr>
            </w:pPr>
            <w:r>
              <w:rPr>
                <w:rFonts w:hint="eastAsia" w:ascii="Times New Roman" w:hAnsi="Times New Roman" w:eastAsia="仿宋_GB2312" w:cs="Times New Roman"/>
                <w:kern w:val="0"/>
                <w:sz w:val="28"/>
                <w:szCs w:val="28"/>
                <w:lang w:val="en-US" w:eastAsia="zh-CN" w:bidi="ar"/>
              </w:rPr>
              <w:t>4</w:t>
            </w:r>
          </w:p>
        </w:tc>
        <w:tc>
          <w:tcPr>
            <w:tcW w:w="1731" w:type="dxa"/>
            <w:shd w:val="clear" w:color="auto" w:fill="auto"/>
            <w:tcMar>
              <w:top w:w="150" w:type="dxa"/>
              <w:left w:w="240" w:type="dxa"/>
              <w:bottom w:w="150" w:type="dxa"/>
              <w:right w:w="240" w:type="dxa"/>
            </w:tcMar>
            <w:vAlign w:val="center"/>
          </w:tcPr>
          <w:p w14:paraId="5D033A53">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仿宋_GB2312" w:cs="Times New Roman"/>
                <w:kern w:val="0"/>
                <w:sz w:val="28"/>
                <w:szCs w:val="28"/>
                <w:lang w:val="en-US" w:eastAsia="zh-CN" w:bidi="ar"/>
              </w:rPr>
            </w:pPr>
            <w:r>
              <w:rPr>
                <w:rFonts w:hint="eastAsia" w:ascii="Times New Roman" w:hAnsi="Times New Roman" w:eastAsia="仿宋_GB2312" w:cs="Times New Roman"/>
                <w:kern w:val="0"/>
                <w:sz w:val="28"/>
                <w:szCs w:val="28"/>
                <w:lang w:val="en-US" w:eastAsia="zh-CN" w:bidi="ar"/>
              </w:rPr>
              <w:t>可行性</w:t>
            </w:r>
          </w:p>
        </w:tc>
        <w:tc>
          <w:tcPr>
            <w:tcW w:w="4870" w:type="dxa"/>
            <w:shd w:val="clear" w:color="auto" w:fill="auto"/>
            <w:tcMar>
              <w:top w:w="150" w:type="dxa"/>
              <w:left w:w="240" w:type="dxa"/>
              <w:bottom w:w="150" w:type="dxa"/>
              <w:right w:w="0" w:type="dxa"/>
            </w:tcMar>
            <w:vAlign w:val="center"/>
          </w:tcPr>
          <w:p w14:paraId="52C34F34">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default"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整体规划设计科学、合理，具备较强的可行性（10分）</w:t>
            </w:r>
          </w:p>
        </w:tc>
        <w:tc>
          <w:tcPr>
            <w:tcW w:w="1233" w:type="dxa"/>
            <w:shd w:val="clear" w:color="auto" w:fill="auto"/>
            <w:tcMar>
              <w:top w:w="150" w:type="dxa"/>
              <w:left w:w="240" w:type="dxa"/>
              <w:bottom w:w="150" w:type="dxa"/>
              <w:right w:w="0" w:type="dxa"/>
            </w:tcMar>
            <w:vAlign w:val="center"/>
          </w:tcPr>
          <w:p w14:paraId="79BC8D74">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仿宋_GB2312" w:cs="Times New Roman"/>
                <w:bCs/>
                <w:color w:val="000000"/>
                <w:kern w:val="0"/>
                <w:sz w:val="28"/>
                <w:szCs w:val="28"/>
                <w:lang w:val="en-US" w:eastAsia="zh-CN"/>
              </w:rPr>
            </w:pPr>
            <w:r>
              <w:rPr>
                <w:rFonts w:hint="eastAsia" w:ascii="Times New Roman" w:hAnsi="Times New Roman" w:eastAsia="仿宋_GB2312" w:cs="Times New Roman"/>
                <w:bCs/>
                <w:color w:val="000000"/>
                <w:kern w:val="0"/>
                <w:sz w:val="28"/>
                <w:szCs w:val="28"/>
                <w:lang w:val="en-US" w:eastAsia="zh-CN"/>
              </w:rPr>
              <w:t>10分</w:t>
            </w:r>
          </w:p>
        </w:tc>
      </w:tr>
    </w:tbl>
    <w:p w14:paraId="0D7D5BFA">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baseline"/>
        <w:rPr>
          <w:rFonts w:hint="eastAsia" w:ascii="黑体" w:hAnsi="黑体" w:eastAsia="黑体" w:cs="黑体"/>
          <w:b/>
          <w:bCs/>
          <w:spacing w:val="-6"/>
          <w:sz w:val="32"/>
          <w:szCs w:val="32"/>
          <w:lang w:val="en-US" w:eastAsia="zh-CN"/>
        </w:rPr>
      </w:pPr>
    </w:p>
    <w:p w14:paraId="35278A08">
      <w:pPr>
        <w:keepNext w:val="0"/>
        <w:keepLines w:val="0"/>
        <w:pageBreakBefore w:val="0"/>
        <w:widowControl w:val="0"/>
        <w:kinsoku/>
        <w:wordWrap/>
        <w:overflowPunct/>
        <w:topLinePunct w:val="0"/>
        <w:autoSpaceDE w:val="0"/>
        <w:autoSpaceDN w:val="0"/>
        <w:bidi w:val="0"/>
        <w:adjustRightInd w:val="0"/>
        <w:snapToGrid w:val="0"/>
        <w:spacing w:line="360" w:lineRule="auto"/>
        <w:ind w:firstLine="619" w:firstLineChars="200"/>
        <w:jc w:val="both"/>
        <w:textAlignment w:val="baseline"/>
        <w:rPr>
          <w:rFonts w:hint="eastAsia" w:ascii="黑体" w:hAnsi="黑体" w:eastAsia="黑体" w:cs="黑体"/>
          <w:b/>
          <w:bCs/>
          <w:spacing w:val="-6"/>
          <w:sz w:val="32"/>
          <w:szCs w:val="32"/>
          <w:lang w:val="en-US" w:eastAsia="zh-CN"/>
        </w:rPr>
      </w:pPr>
      <w:r>
        <w:rPr>
          <w:rFonts w:hint="eastAsia" w:ascii="黑体" w:hAnsi="黑体" w:eastAsia="黑体" w:cs="黑体"/>
          <w:b/>
          <w:bCs/>
          <w:spacing w:val="-6"/>
          <w:sz w:val="32"/>
          <w:szCs w:val="32"/>
          <w:lang w:val="en-US" w:eastAsia="zh-CN"/>
        </w:rPr>
        <w:t>二、食品深加工与产品创新研发赛道</w:t>
      </w:r>
    </w:p>
    <w:p w14:paraId="5FB8BE39">
      <w:pPr>
        <w:keepNext w:val="0"/>
        <w:keepLines w:val="0"/>
        <w:pageBreakBefore w:val="0"/>
        <w:widowControl w:val="0"/>
        <w:kinsoku/>
        <w:wordWrap/>
        <w:overflowPunct/>
        <w:topLinePunct w:val="0"/>
        <w:autoSpaceDE w:val="0"/>
        <w:autoSpaceDN w:val="0"/>
        <w:bidi w:val="0"/>
        <w:adjustRightInd w:val="0"/>
        <w:snapToGrid w:val="0"/>
        <w:spacing w:line="360" w:lineRule="auto"/>
        <w:ind w:firstLine="619" w:firstLineChars="200"/>
        <w:jc w:val="both"/>
        <w:textAlignment w:val="baseline"/>
        <w:rPr>
          <w:rFonts w:hint="eastAsia" w:ascii="楷体_GB2312" w:hAnsi="楷体_GB2312" w:eastAsia="楷体_GB2312" w:cs="楷体_GB2312"/>
          <w:b/>
          <w:bCs/>
          <w:spacing w:val="-6"/>
          <w:sz w:val="32"/>
          <w:szCs w:val="32"/>
          <w:lang w:val="en-US" w:eastAsia="zh-CN"/>
        </w:rPr>
      </w:pPr>
      <w:r>
        <w:rPr>
          <w:rFonts w:hint="eastAsia" w:ascii="楷体_GB2312" w:hAnsi="楷体_GB2312" w:eastAsia="楷体_GB2312" w:cs="楷体_GB2312"/>
          <w:b/>
          <w:bCs/>
          <w:spacing w:val="-6"/>
          <w:sz w:val="32"/>
          <w:szCs w:val="32"/>
          <w:lang w:val="en-US" w:eastAsia="zh-CN"/>
        </w:rPr>
        <w:t>（一）作品要求</w:t>
      </w:r>
    </w:p>
    <w:p w14:paraId="41835045">
      <w:pPr>
        <w:keepNext w:val="0"/>
        <w:keepLines w:val="0"/>
        <w:pageBreakBefore w:val="0"/>
        <w:widowControl w:val="0"/>
        <w:kinsoku/>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Times New Roman" w:hAnsi="Times New Roman" w:eastAsia="仿宋_GB2312" w:cs="Times New Roman"/>
          <w:snapToGrid w:val="0"/>
          <w:color w:val="auto"/>
          <w:spacing w:val="0"/>
          <w:kern w:val="0"/>
          <w:sz w:val="32"/>
          <w:szCs w:val="32"/>
          <w:lang w:val="en-US" w:eastAsia="zh-CN" w:bidi="ar-SA"/>
        </w:rPr>
      </w:pPr>
      <w:r>
        <w:rPr>
          <w:rFonts w:hint="eastAsia" w:ascii="Times New Roman" w:hAnsi="Times New Roman" w:eastAsia="仿宋_GB2312" w:cs="Times New Roman"/>
          <w:snapToGrid w:val="0"/>
          <w:color w:val="auto"/>
          <w:spacing w:val="0"/>
          <w:kern w:val="0"/>
          <w:sz w:val="32"/>
          <w:szCs w:val="32"/>
          <w:lang w:val="en-US" w:eastAsia="zh-CN" w:bidi="ar-SA"/>
        </w:rPr>
        <w:t>根据选题方向设计方案，包含核心配方设计（主料选择、辅料配伍、营养强化）、工艺路线设计（加工流程、技术参数、设备选型）、包装与品牌设计（视觉识别、文化元素植入、规格设定）、市场验证（目标人群调研、竞品分析）、营销推广（线上社群运营、线下渠道铺货）、销售转化（电商平台/实体店铺数据）及迭代优化。</w:t>
      </w:r>
    </w:p>
    <w:p w14:paraId="38338050">
      <w:pPr>
        <w:keepNext w:val="0"/>
        <w:keepLines w:val="0"/>
        <w:pageBreakBefore w:val="0"/>
        <w:widowControl w:val="0"/>
        <w:kinsoku/>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黑体" w:hAnsi="黑体" w:eastAsia="黑体" w:cs="黑体"/>
          <w:b/>
          <w:bCs/>
          <w:spacing w:val="-6"/>
          <w:sz w:val="32"/>
          <w:szCs w:val="32"/>
          <w:lang w:val="en-US" w:eastAsia="zh-CN"/>
        </w:rPr>
      </w:pPr>
      <w:r>
        <w:rPr>
          <w:rFonts w:hint="eastAsia" w:ascii="Times New Roman" w:hAnsi="Times New Roman" w:eastAsia="仿宋_GB2312" w:cs="Times New Roman"/>
          <w:snapToGrid w:val="0"/>
          <w:color w:val="auto"/>
          <w:spacing w:val="0"/>
          <w:kern w:val="0"/>
          <w:sz w:val="32"/>
          <w:szCs w:val="32"/>
          <w:lang w:val="en-US" w:eastAsia="zh-CN" w:bidi="ar-SA"/>
        </w:rPr>
        <w:t>以上提交文件中需隐去高校信息，压缩文件以学校名称命名。</w:t>
      </w:r>
    </w:p>
    <w:p w14:paraId="3C25737E">
      <w:pPr>
        <w:keepNext w:val="0"/>
        <w:keepLines w:val="0"/>
        <w:pageBreakBefore w:val="0"/>
        <w:widowControl/>
        <w:kinsoku w:val="0"/>
        <w:wordWrap/>
        <w:overflowPunct/>
        <w:topLinePunct w:val="0"/>
        <w:autoSpaceDE w:val="0"/>
        <w:autoSpaceDN w:val="0"/>
        <w:bidi w:val="0"/>
        <w:adjustRightInd w:val="0"/>
        <w:snapToGrid w:val="0"/>
        <w:spacing w:line="240" w:lineRule="auto"/>
        <w:ind w:firstLine="619" w:firstLineChars="200"/>
        <w:jc w:val="both"/>
        <w:textAlignment w:val="baseline"/>
        <w:rPr>
          <w:rFonts w:hint="eastAsia" w:ascii="黑体" w:hAnsi="黑体" w:eastAsia="黑体" w:cs="黑体"/>
          <w:b/>
          <w:bCs/>
          <w:color w:val="0000FF"/>
          <w:spacing w:val="0"/>
          <w:kern w:val="0"/>
          <w:sz w:val="32"/>
          <w:szCs w:val="32"/>
          <w:lang w:val="en-US" w:eastAsia="zh-CN" w:bidi="ar"/>
        </w:rPr>
      </w:pPr>
      <w:r>
        <w:rPr>
          <w:rFonts w:hint="eastAsia" w:ascii="楷体_GB2312" w:hAnsi="楷体_GB2312" w:eastAsia="楷体_GB2312" w:cs="楷体_GB2312"/>
          <w:b/>
          <w:bCs/>
          <w:spacing w:val="-6"/>
          <w:sz w:val="32"/>
          <w:szCs w:val="32"/>
          <w:lang w:val="en-US" w:eastAsia="zh-CN"/>
        </w:rPr>
        <w:t>（二）评分规则</w:t>
      </w:r>
    </w:p>
    <w:tbl>
      <w:tblPr>
        <w:tblStyle w:val="3"/>
        <w:tblpPr w:leftFromText="180" w:rightFromText="180" w:vertAnchor="text" w:horzAnchor="page" w:tblpXSpec="center" w:tblpY="398"/>
        <w:tblOverlap w:val="never"/>
        <w:tblW w:w="8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880"/>
        <w:gridCol w:w="1680"/>
        <w:gridCol w:w="5100"/>
        <w:gridCol w:w="1087"/>
      </w:tblGrid>
      <w:tr w14:paraId="62E74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tblHeader/>
          <w:jc w:val="center"/>
        </w:trPr>
        <w:tc>
          <w:tcPr>
            <w:tcW w:w="880" w:type="dxa"/>
            <w:shd w:val="clear" w:color="auto" w:fill="auto"/>
            <w:tcMar>
              <w:top w:w="150" w:type="dxa"/>
              <w:left w:w="0" w:type="dxa"/>
              <w:bottom w:w="150" w:type="dxa"/>
              <w:right w:w="240" w:type="dxa"/>
            </w:tcMar>
            <w:vAlign w:val="center"/>
          </w:tcPr>
          <w:p w14:paraId="2BD5076A">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黑体" w:hAnsi="黑体" w:eastAsia="黑体" w:cs="黑体"/>
                <w:b/>
                <w:sz w:val="28"/>
                <w:szCs w:val="28"/>
              </w:rPr>
            </w:pPr>
            <w:r>
              <w:rPr>
                <w:rFonts w:hint="eastAsia" w:ascii="黑体" w:hAnsi="黑体" w:eastAsia="黑体" w:cs="黑体"/>
                <w:b/>
                <w:color w:val="000000"/>
                <w:kern w:val="0"/>
                <w:sz w:val="28"/>
                <w:szCs w:val="28"/>
                <w:lang w:val="en-US" w:eastAsia="zh-CN"/>
              </w:rPr>
              <w:t>序号</w:t>
            </w:r>
          </w:p>
        </w:tc>
        <w:tc>
          <w:tcPr>
            <w:tcW w:w="1680" w:type="dxa"/>
            <w:shd w:val="clear" w:color="auto" w:fill="auto"/>
            <w:tcMar>
              <w:top w:w="150" w:type="dxa"/>
              <w:left w:w="240" w:type="dxa"/>
              <w:bottom w:w="150" w:type="dxa"/>
              <w:right w:w="240" w:type="dxa"/>
            </w:tcMar>
            <w:vAlign w:val="center"/>
          </w:tcPr>
          <w:p w14:paraId="014D13C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黑体" w:hAnsi="黑体" w:eastAsia="黑体" w:cs="黑体"/>
                <w:b/>
                <w:sz w:val="28"/>
                <w:szCs w:val="28"/>
              </w:rPr>
            </w:pPr>
            <w:r>
              <w:rPr>
                <w:rFonts w:hint="eastAsia" w:ascii="黑体" w:hAnsi="黑体" w:eastAsia="黑体" w:cs="黑体"/>
                <w:b/>
                <w:color w:val="000000"/>
                <w:kern w:val="0"/>
                <w:sz w:val="28"/>
                <w:szCs w:val="28"/>
                <w:lang w:val="en-US" w:eastAsia="zh-CN"/>
              </w:rPr>
              <w:t>评判项目</w:t>
            </w:r>
          </w:p>
        </w:tc>
        <w:tc>
          <w:tcPr>
            <w:tcW w:w="5100" w:type="dxa"/>
            <w:shd w:val="clear" w:color="auto" w:fill="auto"/>
            <w:tcMar>
              <w:top w:w="150" w:type="dxa"/>
              <w:left w:w="240" w:type="dxa"/>
              <w:bottom w:w="150" w:type="dxa"/>
              <w:right w:w="240" w:type="dxa"/>
            </w:tcMar>
            <w:vAlign w:val="center"/>
          </w:tcPr>
          <w:p w14:paraId="57AAEFE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黑体" w:hAnsi="黑体" w:eastAsia="黑体" w:cs="黑体"/>
                <w:b/>
                <w:sz w:val="28"/>
                <w:szCs w:val="28"/>
              </w:rPr>
            </w:pPr>
            <w:r>
              <w:rPr>
                <w:rFonts w:hint="eastAsia" w:ascii="黑体" w:hAnsi="黑体" w:eastAsia="黑体" w:cs="黑体"/>
                <w:b/>
                <w:color w:val="000000"/>
                <w:kern w:val="0"/>
                <w:sz w:val="28"/>
                <w:szCs w:val="28"/>
                <w:lang w:val="en-US" w:eastAsia="zh-CN"/>
              </w:rPr>
              <w:t>详细评分点</w:t>
            </w:r>
          </w:p>
        </w:tc>
        <w:tc>
          <w:tcPr>
            <w:tcW w:w="1087" w:type="dxa"/>
            <w:shd w:val="clear" w:color="auto" w:fill="auto"/>
            <w:tcMar>
              <w:top w:w="150" w:type="dxa"/>
              <w:left w:w="240" w:type="dxa"/>
              <w:bottom w:w="150" w:type="dxa"/>
              <w:right w:w="240" w:type="dxa"/>
            </w:tcMar>
            <w:vAlign w:val="center"/>
          </w:tcPr>
          <w:p w14:paraId="4E8C3BF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黑体" w:hAnsi="黑体" w:eastAsia="黑体" w:cs="黑体"/>
                <w:b/>
                <w:snapToGrid w:val="0"/>
                <w:color w:val="000000"/>
                <w:kern w:val="0"/>
                <w:sz w:val="28"/>
                <w:szCs w:val="28"/>
                <w:lang w:val="en-US" w:eastAsia="zh-CN" w:bidi="ar-SA"/>
              </w:rPr>
            </w:pPr>
            <w:r>
              <w:rPr>
                <w:rFonts w:hint="eastAsia" w:ascii="黑体" w:hAnsi="黑体" w:eastAsia="黑体" w:cs="黑体"/>
                <w:b/>
                <w:color w:val="000000"/>
                <w:kern w:val="0"/>
                <w:sz w:val="28"/>
                <w:szCs w:val="28"/>
                <w:lang w:val="en-US" w:eastAsia="zh-CN"/>
              </w:rPr>
              <w:t>分值</w:t>
            </w:r>
          </w:p>
        </w:tc>
      </w:tr>
      <w:tr w14:paraId="39073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jc w:val="center"/>
        </w:trPr>
        <w:tc>
          <w:tcPr>
            <w:tcW w:w="880" w:type="dxa"/>
            <w:shd w:val="clear" w:color="auto" w:fill="auto"/>
            <w:tcMar>
              <w:top w:w="150" w:type="dxa"/>
              <w:left w:w="0" w:type="dxa"/>
              <w:bottom w:w="150" w:type="dxa"/>
              <w:right w:w="240" w:type="dxa"/>
            </w:tcMar>
            <w:vAlign w:val="center"/>
          </w:tcPr>
          <w:p w14:paraId="21714D7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bCs/>
                <w:color w:val="000000"/>
                <w:kern w:val="0"/>
                <w:sz w:val="28"/>
                <w:szCs w:val="28"/>
              </w:rPr>
              <w:t>1</w:t>
            </w:r>
          </w:p>
        </w:tc>
        <w:tc>
          <w:tcPr>
            <w:tcW w:w="1680" w:type="dxa"/>
            <w:shd w:val="clear" w:color="auto" w:fill="auto"/>
            <w:tcMar>
              <w:top w:w="150" w:type="dxa"/>
              <w:left w:w="240" w:type="dxa"/>
              <w:bottom w:w="150" w:type="dxa"/>
              <w:right w:w="240" w:type="dxa"/>
            </w:tcMar>
            <w:vAlign w:val="center"/>
          </w:tcPr>
          <w:p w14:paraId="276B65A8">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设计题目</w:t>
            </w:r>
          </w:p>
        </w:tc>
        <w:tc>
          <w:tcPr>
            <w:tcW w:w="5100" w:type="dxa"/>
            <w:shd w:val="clear" w:color="auto" w:fill="auto"/>
            <w:tcMar>
              <w:top w:w="150" w:type="dxa"/>
              <w:left w:w="240" w:type="dxa"/>
              <w:bottom w:w="150" w:type="dxa"/>
              <w:right w:w="0" w:type="dxa"/>
            </w:tcMar>
            <w:vAlign w:val="center"/>
          </w:tcPr>
          <w:p w14:paraId="4EE612AB">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default" w:ascii="Times New Roman" w:hAnsi="Times New Roman" w:eastAsia="仿宋_GB2312" w:cs="Times New Roman"/>
                <w:b w:val="0"/>
                <w:bCs w:val="0"/>
                <w:kern w:val="0"/>
                <w:sz w:val="28"/>
                <w:szCs w:val="28"/>
                <w:lang w:val="en-US" w:eastAsia="zh-CN" w:bidi="ar"/>
              </w:rPr>
            </w:pPr>
            <w:r>
              <w:rPr>
                <w:rFonts w:hint="default" w:ascii="Times New Roman" w:hAnsi="Times New Roman" w:eastAsia="仿宋_GB2312" w:cs="Times New Roman"/>
                <w:b w:val="0"/>
                <w:bCs w:val="0"/>
                <w:kern w:val="0"/>
                <w:sz w:val="28"/>
                <w:szCs w:val="28"/>
                <w:lang w:val="en-US" w:eastAsia="zh-CN" w:bidi="ar"/>
              </w:rPr>
              <w:t>确定一个与设计核心相对应的题目（5分）；题目需体现“巴蜀康食”地域特色与“营养健康/功能升级/消费升级”导向（5分）</w:t>
            </w:r>
            <w:r>
              <w:rPr>
                <w:rFonts w:hint="eastAsia" w:ascii="Times New Roman" w:hAnsi="Times New Roman" w:eastAsia="仿宋_GB2312" w:cs="Times New Roman"/>
                <w:b w:val="0"/>
                <w:bCs w:val="0"/>
                <w:kern w:val="0"/>
                <w:sz w:val="28"/>
                <w:szCs w:val="28"/>
                <w:lang w:val="en-US" w:eastAsia="zh-CN" w:bidi="ar"/>
              </w:rPr>
              <w:t>。</w:t>
            </w:r>
          </w:p>
        </w:tc>
        <w:tc>
          <w:tcPr>
            <w:tcW w:w="1087" w:type="dxa"/>
            <w:shd w:val="clear" w:color="auto" w:fill="auto"/>
            <w:tcMar>
              <w:top w:w="150" w:type="dxa"/>
              <w:left w:w="240" w:type="dxa"/>
              <w:bottom w:w="150" w:type="dxa"/>
              <w:right w:w="0" w:type="dxa"/>
            </w:tcMar>
            <w:vAlign w:val="center"/>
          </w:tcPr>
          <w:p w14:paraId="43F7EE89">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10分</w:t>
            </w:r>
          </w:p>
        </w:tc>
      </w:tr>
      <w:tr w14:paraId="62287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jc w:val="center"/>
        </w:trPr>
        <w:tc>
          <w:tcPr>
            <w:tcW w:w="880" w:type="dxa"/>
            <w:shd w:val="clear" w:color="auto" w:fill="auto"/>
            <w:tcMar>
              <w:top w:w="150" w:type="dxa"/>
              <w:left w:w="0" w:type="dxa"/>
              <w:bottom w:w="150" w:type="dxa"/>
              <w:right w:w="240" w:type="dxa"/>
            </w:tcMar>
            <w:vAlign w:val="center"/>
          </w:tcPr>
          <w:p w14:paraId="6252F1C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color w:val="000000"/>
                <w:kern w:val="0"/>
                <w:sz w:val="28"/>
                <w:szCs w:val="28"/>
              </w:rPr>
              <w:t>2</w:t>
            </w:r>
          </w:p>
        </w:tc>
        <w:tc>
          <w:tcPr>
            <w:tcW w:w="1680" w:type="dxa"/>
            <w:shd w:val="clear" w:color="auto" w:fill="auto"/>
            <w:tcMar>
              <w:top w:w="150" w:type="dxa"/>
              <w:left w:w="240" w:type="dxa"/>
              <w:bottom w:w="150" w:type="dxa"/>
              <w:right w:w="240" w:type="dxa"/>
            </w:tcMar>
            <w:vAlign w:val="center"/>
          </w:tcPr>
          <w:p w14:paraId="4548A6A5">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产品定位与营养健康属性</w:t>
            </w:r>
          </w:p>
        </w:tc>
        <w:tc>
          <w:tcPr>
            <w:tcW w:w="5100" w:type="dxa"/>
            <w:shd w:val="clear" w:color="auto" w:fill="auto"/>
            <w:tcMar>
              <w:top w:w="150" w:type="dxa"/>
              <w:left w:w="240" w:type="dxa"/>
              <w:bottom w:w="150" w:type="dxa"/>
              <w:right w:w="0" w:type="dxa"/>
            </w:tcMar>
            <w:vAlign w:val="center"/>
          </w:tcPr>
          <w:p w14:paraId="4FEBFD2B">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default" w:ascii="Times New Roman" w:hAnsi="Times New Roman" w:eastAsia="仿宋_GB2312" w:cs="Times New Roman"/>
                <w:b w:val="0"/>
                <w:bCs w:val="0"/>
                <w:kern w:val="0"/>
                <w:sz w:val="28"/>
                <w:szCs w:val="28"/>
                <w:lang w:val="en-US" w:eastAsia="zh-CN" w:bidi="ar"/>
              </w:rPr>
            </w:pPr>
            <w:r>
              <w:rPr>
                <w:rFonts w:hint="default" w:ascii="Times New Roman" w:hAnsi="Times New Roman" w:eastAsia="仿宋_GB2312" w:cs="Times New Roman"/>
                <w:b w:val="0"/>
                <w:bCs w:val="0"/>
                <w:kern w:val="0"/>
                <w:sz w:val="28"/>
                <w:szCs w:val="28"/>
                <w:lang w:val="en-US" w:eastAsia="zh-CN" w:bidi="ar"/>
              </w:rPr>
              <w:t>立足巴蜀特色食品资源，明确产品类别（新型</w:t>
            </w:r>
            <w:r>
              <w:rPr>
                <w:rFonts w:hint="eastAsia" w:ascii="Times New Roman" w:hAnsi="Times New Roman" w:eastAsia="仿宋_GB2312" w:cs="Times New Roman"/>
                <w:b w:val="0"/>
                <w:bCs w:val="0"/>
                <w:kern w:val="0"/>
                <w:sz w:val="28"/>
                <w:szCs w:val="28"/>
                <w:lang w:val="en-US" w:eastAsia="zh-CN" w:bidi="ar"/>
              </w:rPr>
              <w:t>健康</w:t>
            </w:r>
            <w:r>
              <w:rPr>
                <w:rFonts w:hint="default" w:ascii="Times New Roman" w:hAnsi="Times New Roman" w:eastAsia="仿宋_GB2312" w:cs="Times New Roman"/>
                <w:b w:val="0"/>
                <w:bCs w:val="0"/>
                <w:kern w:val="0"/>
                <w:sz w:val="28"/>
                <w:szCs w:val="28"/>
                <w:lang w:val="en-US" w:eastAsia="zh-CN" w:bidi="ar"/>
              </w:rPr>
              <w:t>食品/</w:t>
            </w:r>
            <w:r>
              <w:rPr>
                <w:rFonts w:hint="eastAsia" w:ascii="Times New Roman" w:hAnsi="Times New Roman" w:eastAsia="仿宋_GB2312" w:cs="Times New Roman"/>
                <w:b w:val="0"/>
                <w:bCs w:val="0"/>
                <w:kern w:val="0"/>
                <w:sz w:val="28"/>
                <w:szCs w:val="28"/>
                <w:lang w:val="en-US" w:eastAsia="zh-CN" w:bidi="ar"/>
              </w:rPr>
              <w:t>特色药食同源</w:t>
            </w:r>
            <w:r>
              <w:rPr>
                <w:rFonts w:hint="default" w:ascii="Times New Roman" w:hAnsi="Times New Roman" w:eastAsia="仿宋_GB2312" w:cs="Times New Roman"/>
                <w:b w:val="0"/>
                <w:bCs w:val="0"/>
                <w:kern w:val="0"/>
                <w:sz w:val="28"/>
                <w:szCs w:val="28"/>
                <w:lang w:val="en-US" w:eastAsia="zh-CN" w:bidi="ar"/>
              </w:rPr>
              <w:t>产品）（8分）；紧扣营养健康、功能升级导向，阐述配方设计的营养学依据或功能性机理（7分）；针对目标人群（如亚健康群体、特定年龄层、慢性病患者等）的精准营养解决方案（5分）</w:t>
            </w:r>
            <w:r>
              <w:rPr>
                <w:rFonts w:hint="eastAsia" w:ascii="Times New Roman" w:hAnsi="Times New Roman" w:eastAsia="仿宋_GB2312" w:cs="Times New Roman"/>
                <w:b w:val="0"/>
                <w:bCs w:val="0"/>
                <w:kern w:val="0"/>
                <w:sz w:val="28"/>
                <w:szCs w:val="28"/>
                <w:lang w:val="en-US" w:eastAsia="zh-CN" w:bidi="ar"/>
              </w:rPr>
              <w:t>。</w:t>
            </w:r>
          </w:p>
        </w:tc>
        <w:tc>
          <w:tcPr>
            <w:tcW w:w="1087" w:type="dxa"/>
            <w:shd w:val="clear" w:color="auto" w:fill="auto"/>
            <w:tcMar>
              <w:top w:w="150" w:type="dxa"/>
              <w:left w:w="240" w:type="dxa"/>
              <w:bottom w:w="150" w:type="dxa"/>
              <w:right w:w="0" w:type="dxa"/>
            </w:tcMar>
            <w:vAlign w:val="center"/>
          </w:tcPr>
          <w:p w14:paraId="63F5F2C1">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仿宋_GB2312" w:cs="Times New Roman"/>
                <w:bCs/>
                <w:color w:val="000000"/>
                <w:kern w:val="0"/>
                <w:sz w:val="28"/>
                <w:szCs w:val="28"/>
                <w:lang w:val="en-US" w:eastAsia="zh-CN"/>
              </w:rPr>
            </w:pPr>
            <w:r>
              <w:rPr>
                <w:rFonts w:hint="default" w:ascii="Times New Roman" w:hAnsi="Times New Roman" w:eastAsia="仿宋_GB2312" w:cs="Times New Roman"/>
                <w:kern w:val="0"/>
                <w:sz w:val="28"/>
                <w:szCs w:val="28"/>
                <w:lang w:val="en-US" w:eastAsia="zh-CN" w:bidi="ar"/>
              </w:rPr>
              <w:t>20分</w:t>
            </w:r>
          </w:p>
        </w:tc>
      </w:tr>
      <w:tr w14:paraId="1F50D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jc w:val="center"/>
        </w:trPr>
        <w:tc>
          <w:tcPr>
            <w:tcW w:w="880" w:type="dxa"/>
            <w:shd w:val="clear" w:color="auto" w:fill="auto"/>
            <w:tcMar>
              <w:top w:w="150" w:type="dxa"/>
              <w:left w:w="0" w:type="dxa"/>
              <w:bottom w:w="150" w:type="dxa"/>
              <w:right w:w="240" w:type="dxa"/>
            </w:tcMar>
            <w:vAlign w:val="center"/>
          </w:tcPr>
          <w:p w14:paraId="17D29CA7">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color w:val="000000"/>
                <w:kern w:val="0"/>
                <w:sz w:val="28"/>
                <w:szCs w:val="28"/>
              </w:rPr>
              <w:t>3</w:t>
            </w:r>
          </w:p>
        </w:tc>
        <w:tc>
          <w:tcPr>
            <w:tcW w:w="1680" w:type="dxa"/>
            <w:shd w:val="clear" w:color="auto" w:fill="auto"/>
            <w:tcMar>
              <w:top w:w="150" w:type="dxa"/>
              <w:left w:w="240" w:type="dxa"/>
              <w:bottom w:w="150" w:type="dxa"/>
              <w:right w:w="240" w:type="dxa"/>
            </w:tcMar>
            <w:vAlign w:val="center"/>
          </w:tcPr>
          <w:p w14:paraId="24F2080E">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产品研发与创新度</w:t>
            </w:r>
          </w:p>
        </w:tc>
        <w:tc>
          <w:tcPr>
            <w:tcW w:w="5100" w:type="dxa"/>
            <w:shd w:val="clear" w:color="auto" w:fill="auto"/>
            <w:tcMar>
              <w:top w:w="150" w:type="dxa"/>
              <w:left w:w="240" w:type="dxa"/>
              <w:bottom w:w="150" w:type="dxa"/>
              <w:right w:w="0" w:type="dxa"/>
            </w:tcMar>
            <w:vAlign w:val="center"/>
          </w:tcPr>
          <w:p w14:paraId="1AFACC25">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default" w:ascii="Times New Roman" w:hAnsi="Times New Roman" w:eastAsia="仿宋_GB2312" w:cs="Times New Roman"/>
                <w:b w:val="0"/>
                <w:bCs w:val="0"/>
                <w:kern w:val="0"/>
                <w:sz w:val="28"/>
                <w:szCs w:val="28"/>
                <w:lang w:val="en-US" w:eastAsia="zh-CN" w:bidi="ar"/>
              </w:rPr>
            </w:pPr>
            <w:r>
              <w:rPr>
                <w:rFonts w:hint="default" w:ascii="Times New Roman" w:hAnsi="Times New Roman" w:eastAsia="仿宋_GB2312" w:cs="Times New Roman"/>
                <w:b w:val="0"/>
                <w:bCs w:val="0"/>
                <w:kern w:val="0"/>
                <w:sz w:val="28"/>
                <w:szCs w:val="28"/>
                <w:lang w:val="en-US" w:eastAsia="zh-CN" w:bidi="ar"/>
              </w:rPr>
              <w:t>产品概念新颖，符合消费升级趋势（8分）；配方优化：传统食材与现代营养科技结合，成分搭配科学（8分）；工艺改良：加工工艺具有可行性与创新性，保障营养留存与品质稳定（9分）</w:t>
            </w:r>
            <w:r>
              <w:rPr>
                <w:rFonts w:hint="eastAsia" w:ascii="Times New Roman" w:hAnsi="Times New Roman" w:eastAsia="仿宋_GB2312" w:cs="Times New Roman"/>
                <w:b w:val="0"/>
                <w:bCs w:val="0"/>
                <w:kern w:val="0"/>
                <w:sz w:val="28"/>
                <w:szCs w:val="28"/>
                <w:lang w:val="en-US" w:eastAsia="zh-CN" w:bidi="ar"/>
              </w:rPr>
              <w:t>。</w:t>
            </w:r>
          </w:p>
        </w:tc>
        <w:tc>
          <w:tcPr>
            <w:tcW w:w="1087" w:type="dxa"/>
            <w:shd w:val="clear" w:color="auto" w:fill="auto"/>
            <w:tcMar>
              <w:top w:w="150" w:type="dxa"/>
              <w:left w:w="240" w:type="dxa"/>
              <w:bottom w:w="150" w:type="dxa"/>
              <w:right w:w="0" w:type="dxa"/>
            </w:tcMar>
            <w:vAlign w:val="center"/>
          </w:tcPr>
          <w:p w14:paraId="4C7994D2">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仿宋_GB2312" w:cs="Times New Roman"/>
                <w:bCs/>
                <w:color w:val="000000"/>
                <w:kern w:val="0"/>
                <w:sz w:val="28"/>
                <w:szCs w:val="28"/>
                <w:lang w:val="en-US" w:eastAsia="zh-CN"/>
              </w:rPr>
            </w:pPr>
            <w:r>
              <w:rPr>
                <w:rFonts w:hint="default" w:ascii="Times New Roman" w:hAnsi="Times New Roman" w:eastAsia="仿宋_GB2312" w:cs="Times New Roman"/>
                <w:kern w:val="0"/>
                <w:sz w:val="28"/>
                <w:szCs w:val="28"/>
                <w:lang w:val="en-US" w:eastAsia="zh-CN" w:bidi="ar"/>
              </w:rPr>
              <w:t>25分</w:t>
            </w:r>
          </w:p>
        </w:tc>
      </w:tr>
      <w:tr w14:paraId="798F2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jc w:val="center"/>
        </w:trPr>
        <w:tc>
          <w:tcPr>
            <w:tcW w:w="880" w:type="dxa"/>
            <w:shd w:val="clear" w:color="auto" w:fill="auto"/>
            <w:tcMar>
              <w:top w:w="150" w:type="dxa"/>
              <w:left w:w="0" w:type="dxa"/>
              <w:bottom w:w="150" w:type="dxa"/>
              <w:right w:w="240" w:type="dxa"/>
            </w:tcMar>
            <w:vAlign w:val="center"/>
          </w:tcPr>
          <w:p w14:paraId="340323B4">
            <w:pPr>
              <w:keepNext w:val="0"/>
              <w:keepLines w:val="0"/>
              <w:pageBreakBefore w:val="0"/>
              <w:widowControl/>
              <w:suppressLineNumbers w:val="0"/>
              <w:kinsoku/>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4</w:t>
            </w:r>
          </w:p>
        </w:tc>
        <w:tc>
          <w:tcPr>
            <w:tcW w:w="1680" w:type="dxa"/>
            <w:shd w:val="clear" w:color="auto" w:fill="auto"/>
            <w:tcMar>
              <w:top w:w="150" w:type="dxa"/>
              <w:left w:w="240" w:type="dxa"/>
              <w:bottom w:w="150" w:type="dxa"/>
              <w:right w:w="240" w:type="dxa"/>
            </w:tcMar>
            <w:vAlign w:val="center"/>
          </w:tcPr>
          <w:p w14:paraId="2E400D88">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品牌设计与市场可行性</w:t>
            </w:r>
          </w:p>
        </w:tc>
        <w:tc>
          <w:tcPr>
            <w:tcW w:w="5100" w:type="dxa"/>
            <w:shd w:val="clear" w:color="auto" w:fill="auto"/>
            <w:tcMar>
              <w:top w:w="150" w:type="dxa"/>
              <w:left w:w="240" w:type="dxa"/>
              <w:bottom w:w="150" w:type="dxa"/>
              <w:right w:w="0" w:type="dxa"/>
            </w:tcMar>
            <w:vAlign w:val="center"/>
          </w:tcPr>
          <w:p w14:paraId="6A3A6F52">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default" w:ascii="Times New Roman" w:hAnsi="Times New Roman" w:eastAsia="仿宋_GB2312" w:cs="Times New Roman"/>
                <w:b w:val="0"/>
                <w:bCs w:val="0"/>
                <w:kern w:val="0"/>
                <w:sz w:val="28"/>
                <w:szCs w:val="28"/>
                <w:lang w:val="en-US" w:eastAsia="zh-CN" w:bidi="ar"/>
              </w:rPr>
            </w:pPr>
            <w:r>
              <w:rPr>
                <w:rFonts w:hint="default" w:ascii="Times New Roman" w:hAnsi="Times New Roman" w:eastAsia="仿宋_GB2312" w:cs="Times New Roman"/>
                <w:b w:val="0"/>
                <w:bCs w:val="0"/>
                <w:kern w:val="0"/>
                <w:sz w:val="28"/>
                <w:szCs w:val="28"/>
                <w:lang w:val="en-US" w:eastAsia="zh-CN" w:bidi="ar"/>
              </w:rPr>
              <w:t>包装设计体现巴蜀文化元素与健康属性，VI系统完整（8分）；市场调研方法科学，数据真实，竞品分析到位（6分）；线上线下融合营销策略清晰，具备可执行性与市场潜力（6分）</w:t>
            </w:r>
            <w:r>
              <w:rPr>
                <w:rFonts w:hint="eastAsia" w:ascii="Times New Roman" w:hAnsi="Times New Roman" w:eastAsia="仿宋_GB2312" w:cs="Times New Roman"/>
                <w:b w:val="0"/>
                <w:bCs w:val="0"/>
                <w:kern w:val="0"/>
                <w:sz w:val="28"/>
                <w:szCs w:val="28"/>
                <w:lang w:val="en-US" w:eastAsia="zh-CN" w:bidi="ar"/>
              </w:rPr>
              <w:t>。</w:t>
            </w:r>
          </w:p>
        </w:tc>
        <w:tc>
          <w:tcPr>
            <w:tcW w:w="1087" w:type="dxa"/>
            <w:shd w:val="clear" w:color="auto" w:fill="auto"/>
            <w:tcMar>
              <w:top w:w="150" w:type="dxa"/>
              <w:left w:w="240" w:type="dxa"/>
              <w:bottom w:w="150" w:type="dxa"/>
              <w:right w:w="0" w:type="dxa"/>
            </w:tcMar>
            <w:vAlign w:val="center"/>
          </w:tcPr>
          <w:p w14:paraId="001441D7">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仿宋_GB2312" w:cs="Times New Roman"/>
                <w:bCs/>
                <w:color w:val="000000"/>
                <w:kern w:val="0"/>
                <w:sz w:val="28"/>
                <w:szCs w:val="28"/>
                <w:lang w:val="en-US" w:eastAsia="zh-CN"/>
              </w:rPr>
            </w:pPr>
            <w:r>
              <w:rPr>
                <w:rFonts w:hint="default" w:ascii="Times New Roman" w:hAnsi="Times New Roman" w:eastAsia="仿宋_GB2312" w:cs="Times New Roman"/>
                <w:kern w:val="0"/>
                <w:sz w:val="28"/>
                <w:szCs w:val="28"/>
                <w:lang w:val="en-US" w:eastAsia="zh-CN" w:bidi="ar"/>
              </w:rPr>
              <w:t>20分</w:t>
            </w:r>
          </w:p>
        </w:tc>
      </w:tr>
      <w:tr w14:paraId="36F51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 w:hRule="atLeast"/>
          <w:jc w:val="center"/>
        </w:trPr>
        <w:tc>
          <w:tcPr>
            <w:tcW w:w="880" w:type="dxa"/>
            <w:shd w:val="clear" w:color="auto" w:fill="auto"/>
            <w:tcMar>
              <w:top w:w="150" w:type="dxa"/>
              <w:left w:w="0" w:type="dxa"/>
              <w:bottom w:w="150" w:type="dxa"/>
              <w:right w:w="240" w:type="dxa"/>
            </w:tcMar>
            <w:vAlign w:val="center"/>
          </w:tcPr>
          <w:p w14:paraId="76B576E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5</w:t>
            </w:r>
          </w:p>
        </w:tc>
        <w:tc>
          <w:tcPr>
            <w:tcW w:w="1680" w:type="dxa"/>
            <w:shd w:val="clear" w:color="auto" w:fill="auto"/>
            <w:tcMar>
              <w:top w:w="150" w:type="dxa"/>
              <w:left w:w="240" w:type="dxa"/>
              <w:bottom w:w="150" w:type="dxa"/>
              <w:right w:w="240" w:type="dxa"/>
            </w:tcMar>
            <w:vAlign w:val="center"/>
          </w:tcPr>
          <w:p w14:paraId="39064AC8">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仿宋_GB2312" w:cs="Times New Roman"/>
                <w:kern w:val="0"/>
                <w:sz w:val="28"/>
                <w:szCs w:val="28"/>
                <w:lang w:val="en-US" w:eastAsia="zh-CN" w:bidi="ar"/>
              </w:rPr>
            </w:pPr>
            <w:r>
              <w:rPr>
                <w:rFonts w:hint="default" w:ascii="Times New Roman" w:hAnsi="Times New Roman" w:eastAsia="仿宋_GB2312" w:cs="Times New Roman"/>
                <w:kern w:val="0"/>
                <w:sz w:val="28"/>
                <w:szCs w:val="28"/>
                <w:lang w:val="en-US" w:eastAsia="zh-CN" w:bidi="ar"/>
              </w:rPr>
              <w:t>销售成效与商业闭环</w:t>
            </w:r>
          </w:p>
        </w:tc>
        <w:tc>
          <w:tcPr>
            <w:tcW w:w="5100" w:type="dxa"/>
            <w:shd w:val="clear" w:color="auto" w:fill="auto"/>
            <w:tcMar>
              <w:top w:w="150" w:type="dxa"/>
              <w:left w:w="240" w:type="dxa"/>
              <w:bottom w:w="150" w:type="dxa"/>
              <w:right w:w="0" w:type="dxa"/>
            </w:tcMar>
            <w:vAlign w:val="center"/>
          </w:tcPr>
          <w:p w14:paraId="5372CEE3">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default" w:ascii="Times New Roman" w:hAnsi="Times New Roman" w:eastAsia="仿宋_GB2312" w:cs="Times New Roman"/>
                <w:b w:val="0"/>
                <w:bCs w:val="0"/>
                <w:kern w:val="0"/>
                <w:sz w:val="28"/>
                <w:szCs w:val="28"/>
                <w:lang w:val="en-US" w:eastAsia="zh-CN" w:bidi="ar"/>
              </w:rPr>
            </w:pPr>
            <w:r>
              <w:rPr>
                <w:rFonts w:hint="default" w:ascii="Times New Roman" w:hAnsi="Times New Roman" w:eastAsia="仿宋_GB2312" w:cs="Times New Roman"/>
                <w:b w:val="0"/>
                <w:bCs w:val="0"/>
                <w:kern w:val="0"/>
                <w:sz w:val="28"/>
                <w:szCs w:val="28"/>
                <w:lang w:val="en-US" w:eastAsia="zh-CN" w:bidi="ar"/>
              </w:rPr>
              <w:t>线上线下销售额、销量、复购率等量化</w:t>
            </w:r>
            <w:r>
              <w:rPr>
                <w:rFonts w:hint="eastAsia" w:ascii="Times New Roman" w:hAnsi="Times New Roman" w:eastAsia="仿宋_GB2312" w:cs="Times New Roman"/>
                <w:b w:val="0"/>
                <w:bCs w:val="0"/>
                <w:kern w:val="0"/>
                <w:sz w:val="28"/>
                <w:szCs w:val="28"/>
                <w:lang w:val="en-US" w:eastAsia="zh-CN" w:bidi="ar"/>
              </w:rPr>
              <w:t>数据清晰</w:t>
            </w:r>
            <w:r>
              <w:rPr>
                <w:rFonts w:hint="default" w:ascii="Times New Roman" w:hAnsi="Times New Roman" w:eastAsia="仿宋_GB2312" w:cs="Times New Roman"/>
                <w:b w:val="0"/>
                <w:bCs w:val="0"/>
                <w:kern w:val="0"/>
                <w:sz w:val="28"/>
                <w:szCs w:val="28"/>
                <w:lang w:val="en-US" w:eastAsia="zh-CN" w:bidi="ar"/>
              </w:rPr>
              <w:t>（12分）；“研发</w:t>
            </w:r>
            <w:r>
              <w:rPr>
                <w:rFonts w:hint="eastAsia" w:ascii="Times New Roman" w:hAnsi="Times New Roman" w:eastAsia="仿宋_GB2312" w:cs="Times New Roman"/>
                <w:b w:val="0"/>
                <w:bCs w:val="0"/>
                <w:kern w:val="0"/>
                <w:sz w:val="28"/>
                <w:szCs w:val="28"/>
                <w:lang w:val="en-US" w:eastAsia="zh-CN" w:bidi="ar"/>
              </w:rPr>
              <w:t>－</w:t>
            </w:r>
            <w:r>
              <w:rPr>
                <w:rFonts w:hint="default" w:ascii="Times New Roman" w:hAnsi="Times New Roman" w:eastAsia="仿宋_GB2312" w:cs="Times New Roman"/>
                <w:b w:val="0"/>
                <w:bCs w:val="0"/>
                <w:kern w:val="0"/>
                <w:sz w:val="28"/>
                <w:szCs w:val="28"/>
                <w:lang w:val="en-US" w:eastAsia="zh-CN" w:bidi="ar"/>
              </w:rPr>
              <w:t>设计</w:t>
            </w:r>
            <w:r>
              <w:rPr>
                <w:rFonts w:hint="eastAsia" w:ascii="Times New Roman" w:hAnsi="Times New Roman" w:eastAsia="仿宋_GB2312" w:cs="Times New Roman"/>
                <w:b w:val="0"/>
                <w:bCs w:val="0"/>
                <w:kern w:val="0"/>
                <w:sz w:val="28"/>
                <w:szCs w:val="28"/>
                <w:lang w:val="en-US" w:eastAsia="zh-CN" w:bidi="ar"/>
              </w:rPr>
              <w:t>－</w:t>
            </w:r>
            <w:r>
              <w:rPr>
                <w:rFonts w:hint="default" w:ascii="Times New Roman" w:hAnsi="Times New Roman" w:eastAsia="仿宋_GB2312" w:cs="Times New Roman"/>
                <w:b w:val="0"/>
                <w:bCs w:val="0"/>
                <w:kern w:val="0"/>
                <w:sz w:val="28"/>
                <w:szCs w:val="28"/>
                <w:lang w:val="en-US" w:eastAsia="zh-CN" w:bidi="ar"/>
              </w:rPr>
              <w:t>推广</w:t>
            </w:r>
            <w:r>
              <w:rPr>
                <w:rFonts w:hint="eastAsia" w:ascii="Times New Roman" w:hAnsi="Times New Roman" w:eastAsia="仿宋_GB2312" w:cs="Times New Roman"/>
                <w:b w:val="0"/>
                <w:bCs w:val="0"/>
                <w:kern w:val="0"/>
                <w:sz w:val="28"/>
                <w:szCs w:val="28"/>
                <w:lang w:val="en-US" w:eastAsia="zh-CN" w:bidi="ar"/>
              </w:rPr>
              <w:t>－</w:t>
            </w:r>
            <w:r>
              <w:rPr>
                <w:rFonts w:hint="default" w:ascii="Times New Roman" w:hAnsi="Times New Roman" w:eastAsia="仿宋_GB2312" w:cs="Times New Roman"/>
                <w:b w:val="0"/>
                <w:bCs w:val="0"/>
                <w:kern w:val="0"/>
                <w:sz w:val="28"/>
                <w:szCs w:val="28"/>
                <w:lang w:val="en-US" w:eastAsia="zh-CN" w:bidi="ar"/>
              </w:rPr>
              <w:t>销售”完整闭环：各环节衔接自然，数据反馈驱动产品迭代（8分）；成本控制与盈利模式：定价合理，利润空间清晰（5分）</w:t>
            </w:r>
            <w:r>
              <w:rPr>
                <w:rFonts w:hint="eastAsia" w:ascii="Times New Roman" w:hAnsi="Times New Roman" w:eastAsia="仿宋_GB2312" w:cs="Times New Roman"/>
                <w:b w:val="0"/>
                <w:bCs w:val="0"/>
                <w:kern w:val="0"/>
                <w:sz w:val="28"/>
                <w:szCs w:val="28"/>
                <w:lang w:val="en-US" w:eastAsia="zh-CN" w:bidi="ar"/>
              </w:rPr>
              <w:t>。</w:t>
            </w:r>
          </w:p>
        </w:tc>
        <w:tc>
          <w:tcPr>
            <w:tcW w:w="1087" w:type="dxa"/>
            <w:shd w:val="clear" w:color="auto" w:fill="auto"/>
            <w:tcMar>
              <w:top w:w="150" w:type="dxa"/>
              <w:left w:w="240" w:type="dxa"/>
              <w:bottom w:w="150" w:type="dxa"/>
              <w:right w:w="0" w:type="dxa"/>
            </w:tcMar>
            <w:vAlign w:val="center"/>
          </w:tcPr>
          <w:p w14:paraId="464F586A">
            <w:pPr>
              <w:keepNext w:val="0"/>
              <w:keepLines w:val="0"/>
              <w:widowControl/>
              <w:suppressLineNumbers w:val="0"/>
              <w:snapToGrid w:val="0"/>
              <w:spacing w:line="240" w:lineRule="auto"/>
              <w:ind w:left="0" w:leftChars="0" w:right="0" w:rightChars="0" w:firstLine="0" w:firstLineChars="0"/>
              <w:jc w:val="both"/>
              <w:rPr>
                <w:rFonts w:hint="default" w:ascii="Times New Roman" w:hAnsi="Times New Roman" w:eastAsia="仿宋_GB2312" w:cs="Times New Roman"/>
                <w:bCs/>
                <w:color w:val="000000"/>
                <w:kern w:val="0"/>
                <w:sz w:val="28"/>
                <w:szCs w:val="28"/>
                <w:lang w:val="en-US" w:eastAsia="zh-CN"/>
              </w:rPr>
            </w:pPr>
            <w:r>
              <w:rPr>
                <w:rFonts w:hint="default" w:ascii="Times New Roman" w:hAnsi="Times New Roman" w:eastAsia="仿宋_GB2312" w:cs="Times New Roman"/>
                <w:kern w:val="0"/>
                <w:sz w:val="28"/>
                <w:szCs w:val="28"/>
                <w:lang w:val="en-US" w:eastAsia="zh-CN" w:bidi="ar"/>
              </w:rPr>
              <w:t>25分</w:t>
            </w:r>
          </w:p>
        </w:tc>
      </w:tr>
    </w:tbl>
    <w:p w14:paraId="73496BF6">
      <w:pPr>
        <w:keepNext w:val="0"/>
        <w:keepLines w:val="0"/>
        <w:pageBreakBefore w:val="0"/>
        <w:widowControl w:val="0"/>
        <w:kinsoku/>
        <w:wordWrap/>
        <w:overflowPunct/>
        <w:topLinePunct w:val="0"/>
        <w:autoSpaceDE w:val="0"/>
        <w:autoSpaceDN w:val="0"/>
        <w:bidi w:val="0"/>
        <w:adjustRightInd w:val="0"/>
        <w:snapToGrid w:val="0"/>
        <w:spacing w:line="360" w:lineRule="auto"/>
        <w:ind w:firstLine="619" w:firstLineChars="200"/>
        <w:jc w:val="both"/>
        <w:textAlignment w:val="baseline"/>
        <w:rPr>
          <w:rFonts w:hint="eastAsia" w:ascii="黑体" w:hAnsi="黑体" w:eastAsia="黑体" w:cs="黑体"/>
          <w:b/>
          <w:bCs/>
          <w:spacing w:val="-6"/>
          <w:sz w:val="32"/>
          <w:szCs w:val="32"/>
          <w:lang w:val="en-US" w:eastAsia="zh-CN"/>
        </w:rPr>
      </w:pPr>
    </w:p>
    <w:p w14:paraId="4E2A315E">
      <w:pPr>
        <w:keepNext w:val="0"/>
        <w:keepLines w:val="0"/>
        <w:pageBreakBefore w:val="0"/>
        <w:widowControl w:val="0"/>
        <w:kinsoku/>
        <w:wordWrap/>
        <w:overflowPunct/>
        <w:topLinePunct w:val="0"/>
        <w:autoSpaceDE w:val="0"/>
        <w:autoSpaceDN w:val="0"/>
        <w:bidi w:val="0"/>
        <w:adjustRightInd w:val="0"/>
        <w:snapToGrid w:val="0"/>
        <w:spacing w:line="360" w:lineRule="auto"/>
        <w:ind w:firstLine="619" w:firstLineChars="200"/>
        <w:jc w:val="both"/>
        <w:textAlignment w:val="baseline"/>
        <w:rPr>
          <w:rFonts w:hint="eastAsia" w:ascii="黑体" w:hAnsi="黑体" w:eastAsia="黑体" w:cs="黑体"/>
          <w:b/>
          <w:bCs/>
          <w:spacing w:val="-6"/>
          <w:sz w:val="32"/>
          <w:szCs w:val="32"/>
          <w:lang w:val="en-US" w:eastAsia="zh-CN"/>
        </w:rPr>
      </w:pPr>
    </w:p>
    <w:p w14:paraId="575C5103">
      <w:pPr>
        <w:keepNext w:val="0"/>
        <w:keepLines w:val="0"/>
        <w:pageBreakBefore w:val="0"/>
        <w:widowControl w:val="0"/>
        <w:kinsoku/>
        <w:wordWrap/>
        <w:overflowPunct/>
        <w:topLinePunct w:val="0"/>
        <w:autoSpaceDE w:val="0"/>
        <w:autoSpaceDN w:val="0"/>
        <w:bidi w:val="0"/>
        <w:adjustRightInd w:val="0"/>
        <w:snapToGrid w:val="0"/>
        <w:spacing w:line="360" w:lineRule="auto"/>
        <w:ind w:firstLine="619" w:firstLineChars="200"/>
        <w:jc w:val="both"/>
        <w:textAlignment w:val="baseline"/>
        <w:rPr>
          <w:rFonts w:hint="eastAsia" w:ascii="黑体" w:hAnsi="黑体" w:eastAsia="黑体" w:cs="黑体"/>
          <w:b/>
          <w:bCs/>
          <w:spacing w:val="-6"/>
          <w:sz w:val="32"/>
          <w:szCs w:val="32"/>
          <w:lang w:val="en-US" w:eastAsia="zh-CN"/>
        </w:rPr>
      </w:pPr>
      <w:r>
        <w:rPr>
          <w:rFonts w:hint="eastAsia" w:ascii="黑体" w:hAnsi="黑体" w:eastAsia="黑体" w:cs="黑体"/>
          <w:b/>
          <w:bCs/>
          <w:spacing w:val="-6"/>
          <w:sz w:val="32"/>
          <w:szCs w:val="32"/>
          <w:lang w:val="en-US" w:eastAsia="zh-CN"/>
        </w:rPr>
        <w:t>三、农牧食品全产业链商业运营与营销策划赛道</w:t>
      </w:r>
    </w:p>
    <w:p w14:paraId="61D89F7D">
      <w:pPr>
        <w:keepNext w:val="0"/>
        <w:keepLines w:val="0"/>
        <w:pageBreakBefore w:val="0"/>
        <w:widowControl w:val="0"/>
        <w:kinsoku/>
        <w:wordWrap/>
        <w:overflowPunct/>
        <w:topLinePunct w:val="0"/>
        <w:autoSpaceDE w:val="0"/>
        <w:autoSpaceDN w:val="0"/>
        <w:bidi w:val="0"/>
        <w:adjustRightInd w:val="0"/>
        <w:snapToGrid w:val="0"/>
        <w:spacing w:line="360" w:lineRule="auto"/>
        <w:ind w:firstLine="619" w:firstLineChars="200"/>
        <w:jc w:val="both"/>
        <w:textAlignment w:val="baseline"/>
        <w:rPr>
          <w:rFonts w:hint="eastAsia" w:ascii="楷体_GB2312" w:hAnsi="楷体_GB2312" w:eastAsia="楷体_GB2312" w:cs="楷体_GB2312"/>
          <w:b/>
          <w:bCs/>
          <w:spacing w:val="-6"/>
          <w:sz w:val="32"/>
          <w:szCs w:val="32"/>
          <w:lang w:val="en-US" w:eastAsia="zh-CN"/>
        </w:rPr>
      </w:pPr>
      <w:r>
        <w:rPr>
          <w:rFonts w:hint="eastAsia" w:ascii="楷体_GB2312" w:hAnsi="楷体_GB2312" w:eastAsia="楷体_GB2312" w:cs="楷体_GB2312"/>
          <w:b/>
          <w:bCs/>
          <w:spacing w:val="-6"/>
          <w:sz w:val="32"/>
          <w:szCs w:val="32"/>
          <w:lang w:val="en-US" w:eastAsia="zh-CN"/>
        </w:rPr>
        <w:t>（一）作品要求</w:t>
      </w:r>
    </w:p>
    <w:p w14:paraId="47D7D70D">
      <w:pPr>
        <w:keepNext w:val="0"/>
        <w:keepLines w:val="0"/>
        <w:pageBreakBefore w:val="0"/>
        <w:widowControl w:val="0"/>
        <w:kinsoku/>
        <w:wordWrap/>
        <w:overflowPunct/>
        <w:topLinePunct w:val="0"/>
        <w:autoSpaceDE w:val="0"/>
        <w:autoSpaceDN w:val="0"/>
        <w:bidi w:val="0"/>
        <w:adjustRightInd w:val="0"/>
        <w:snapToGrid w:val="0"/>
        <w:spacing w:line="360" w:lineRule="auto"/>
        <w:ind w:firstLine="640" w:firstLineChars="200"/>
        <w:jc w:val="both"/>
        <w:textAlignment w:val="baseline"/>
        <w:rPr>
          <w:rFonts w:hint="default" w:ascii="Times New Roman" w:hAnsi="Times New Roman" w:eastAsia="仿宋_GB2312" w:cs="Times New Roman"/>
          <w:snapToGrid w:val="0"/>
          <w:color w:val="auto"/>
          <w:spacing w:val="0"/>
          <w:kern w:val="0"/>
          <w:sz w:val="32"/>
          <w:szCs w:val="32"/>
          <w:lang w:val="en-US" w:eastAsia="zh-CN" w:bidi="ar-SA"/>
        </w:rPr>
      </w:pPr>
      <w:r>
        <w:rPr>
          <w:rFonts w:hint="eastAsia" w:ascii="Times New Roman" w:hAnsi="Times New Roman" w:eastAsia="仿宋_GB2312" w:cs="Times New Roman"/>
          <w:snapToGrid w:val="0"/>
          <w:color w:val="auto"/>
          <w:spacing w:val="0"/>
          <w:kern w:val="0"/>
          <w:sz w:val="32"/>
          <w:szCs w:val="32"/>
          <w:lang w:val="en-US" w:eastAsia="zh-CN" w:bidi="ar-SA"/>
        </w:rPr>
        <w:t>选择农牧食品的品牌打造与运营、销售渠道创新与推广、数智化运营优化及跨业态融合创新等方向设计方案，包含</w:t>
      </w:r>
      <w:r>
        <w:rPr>
          <w:rFonts w:hint="eastAsia" w:ascii="Times New Roman" w:hAnsi="Times New Roman" w:eastAsia="仿宋_GB2312" w:cs="Times New Roman"/>
          <w:color w:val="auto"/>
          <w:spacing w:val="0"/>
          <w:sz w:val="32"/>
          <w:szCs w:val="32"/>
          <w:lang w:val="en-US" w:eastAsia="zh-CN"/>
        </w:rPr>
        <w:t>农牧种养、精深加工、冷链物流、品牌打造、渠道分销、文旅融合、数智化转</w:t>
      </w:r>
      <w:bookmarkStart w:id="0" w:name="_GoBack"/>
      <w:r>
        <w:rPr>
          <w:rFonts w:hint="eastAsia" w:ascii="Times New Roman" w:hAnsi="Times New Roman" w:eastAsia="仿宋_GB2312" w:cs="Times New Roman"/>
          <w:color w:val="auto"/>
          <w:spacing w:val="0"/>
          <w:sz w:val="32"/>
          <w:szCs w:val="32"/>
          <w:lang w:val="en-US" w:eastAsia="zh-CN"/>
        </w:rPr>
        <w:t>型等</w:t>
      </w:r>
      <w:bookmarkEnd w:id="0"/>
      <w:r>
        <w:rPr>
          <w:rFonts w:hint="eastAsia" w:ascii="Times New Roman" w:hAnsi="Times New Roman" w:eastAsia="仿宋_GB2312" w:cs="Times New Roman"/>
          <w:color w:val="auto"/>
          <w:spacing w:val="0"/>
          <w:sz w:val="32"/>
          <w:szCs w:val="32"/>
          <w:lang w:val="en-US" w:eastAsia="zh-CN"/>
        </w:rPr>
        <w:t>多个环节，方案完整合理。</w:t>
      </w:r>
    </w:p>
    <w:p w14:paraId="70767A52">
      <w:pPr>
        <w:keepNext w:val="0"/>
        <w:keepLines w:val="0"/>
        <w:pageBreakBefore w:val="0"/>
        <w:widowControl w:val="0"/>
        <w:kinsoku/>
        <w:wordWrap/>
        <w:overflowPunct/>
        <w:topLinePunct w:val="0"/>
        <w:autoSpaceDE w:val="0"/>
        <w:autoSpaceDN w:val="0"/>
        <w:bidi w:val="0"/>
        <w:adjustRightInd w:val="0"/>
        <w:snapToGrid w:val="0"/>
        <w:spacing w:line="360" w:lineRule="auto"/>
        <w:ind w:firstLine="640" w:firstLineChars="200"/>
        <w:jc w:val="both"/>
        <w:textAlignment w:val="baseline"/>
        <w:rPr>
          <w:rFonts w:hint="eastAsia" w:ascii="黑体" w:hAnsi="黑体" w:eastAsia="黑体" w:cs="黑体"/>
          <w:b/>
          <w:bCs/>
          <w:spacing w:val="-6"/>
          <w:sz w:val="32"/>
          <w:szCs w:val="32"/>
          <w:lang w:val="en-US" w:eastAsia="zh-CN"/>
        </w:rPr>
      </w:pPr>
      <w:r>
        <w:rPr>
          <w:rFonts w:hint="eastAsia" w:ascii="Times New Roman" w:hAnsi="Times New Roman" w:eastAsia="仿宋_GB2312" w:cs="Times New Roman"/>
          <w:snapToGrid w:val="0"/>
          <w:color w:val="auto"/>
          <w:spacing w:val="0"/>
          <w:kern w:val="0"/>
          <w:sz w:val="32"/>
          <w:szCs w:val="32"/>
          <w:lang w:val="en-US" w:eastAsia="zh-CN" w:bidi="ar-SA"/>
        </w:rPr>
        <w:t>以上提交文件中需隐去高校信息，压缩文件以学校名称命名。</w:t>
      </w:r>
    </w:p>
    <w:p w14:paraId="49DD9F0B">
      <w:pPr>
        <w:keepNext w:val="0"/>
        <w:keepLines w:val="0"/>
        <w:pageBreakBefore w:val="0"/>
        <w:widowControl/>
        <w:kinsoku w:val="0"/>
        <w:wordWrap/>
        <w:overflowPunct/>
        <w:topLinePunct w:val="0"/>
        <w:autoSpaceDE w:val="0"/>
        <w:autoSpaceDN w:val="0"/>
        <w:bidi w:val="0"/>
        <w:adjustRightInd w:val="0"/>
        <w:snapToGrid w:val="0"/>
        <w:spacing w:line="240" w:lineRule="auto"/>
        <w:ind w:firstLine="619" w:firstLineChars="200"/>
        <w:jc w:val="both"/>
        <w:textAlignment w:val="baseline"/>
        <w:rPr>
          <w:rFonts w:hint="eastAsia" w:ascii="黑体" w:hAnsi="黑体" w:eastAsia="黑体" w:cs="黑体"/>
          <w:b/>
          <w:bCs/>
          <w:spacing w:val="-6"/>
          <w:sz w:val="32"/>
          <w:szCs w:val="32"/>
          <w:lang w:val="en-US" w:eastAsia="zh-CN"/>
        </w:rPr>
      </w:pPr>
      <w:r>
        <w:rPr>
          <w:rFonts w:hint="eastAsia" w:ascii="楷体_GB2312" w:hAnsi="楷体_GB2312" w:eastAsia="楷体_GB2312" w:cs="楷体_GB2312"/>
          <w:b/>
          <w:bCs/>
          <w:spacing w:val="-6"/>
          <w:sz w:val="32"/>
          <w:szCs w:val="32"/>
          <w:lang w:val="en-US" w:eastAsia="zh-CN"/>
        </w:rPr>
        <w:t>（二）评分规则</w:t>
      </w:r>
    </w:p>
    <w:tbl>
      <w:tblPr>
        <w:tblStyle w:val="3"/>
        <w:tblW w:w="88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838"/>
        <w:gridCol w:w="1580"/>
        <w:gridCol w:w="5513"/>
        <w:gridCol w:w="911"/>
      </w:tblGrid>
      <w:tr w14:paraId="31B3D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29" w:hRule="atLeast"/>
          <w:tblHeader/>
          <w:jc w:val="center"/>
        </w:trPr>
        <w:tc>
          <w:tcPr>
            <w:tcW w:w="838" w:type="dxa"/>
            <w:shd w:val="clear" w:color="auto" w:fill="auto"/>
            <w:tcMar>
              <w:top w:w="120" w:type="dxa"/>
              <w:left w:w="120" w:type="dxa"/>
              <w:bottom w:w="120" w:type="dxa"/>
              <w:right w:w="120" w:type="dxa"/>
            </w:tcMar>
            <w:vAlign w:val="center"/>
          </w:tcPr>
          <w:p w14:paraId="4D30A556">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黑体" w:hAnsi="黑体" w:eastAsia="黑体" w:cs="黑体"/>
                <w:b/>
                <w:color w:val="000000"/>
                <w:kern w:val="0"/>
                <w:sz w:val="28"/>
                <w:szCs w:val="28"/>
              </w:rPr>
            </w:pPr>
            <w:r>
              <w:rPr>
                <w:rFonts w:hint="eastAsia" w:ascii="黑体" w:hAnsi="黑体" w:eastAsia="黑体" w:cs="黑体"/>
                <w:b/>
                <w:color w:val="000000"/>
                <w:kern w:val="0"/>
                <w:sz w:val="28"/>
                <w:szCs w:val="28"/>
                <w:lang w:val="en-US" w:eastAsia="zh-CN"/>
              </w:rPr>
              <w:t>序号</w:t>
            </w:r>
          </w:p>
        </w:tc>
        <w:tc>
          <w:tcPr>
            <w:tcW w:w="1580" w:type="dxa"/>
            <w:shd w:val="clear" w:color="auto" w:fill="auto"/>
            <w:tcMar>
              <w:top w:w="120" w:type="dxa"/>
              <w:left w:w="120" w:type="dxa"/>
              <w:bottom w:w="120" w:type="dxa"/>
              <w:right w:w="120" w:type="dxa"/>
            </w:tcMar>
            <w:vAlign w:val="center"/>
          </w:tcPr>
          <w:p w14:paraId="0FADA3DD">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黑体" w:hAnsi="黑体" w:eastAsia="黑体" w:cs="黑体"/>
                <w:b/>
                <w:color w:val="000000"/>
                <w:kern w:val="0"/>
                <w:sz w:val="28"/>
                <w:szCs w:val="28"/>
              </w:rPr>
            </w:pPr>
            <w:r>
              <w:rPr>
                <w:rFonts w:hint="eastAsia" w:ascii="黑体" w:hAnsi="黑体" w:eastAsia="黑体" w:cs="黑体"/>
                <w:b/>
                <w:color w:val="000000"/>
                <w:kern w:val="0"/>
                <w:sz w:val="28"/>
                <w:szCs w:val="28"/>
                <w:lang w:val="en-US" w:eastAsia="zh-CN"/>
              </w:rPr>
              <w:t>评判项目</w:t>
            </w:r>
          </w:p>
        </w:tc>
        <w:tc>
          <w:tcPr>
            <w:tcW w:w="5513" w:type="dxa"/>
            <w:shd w:val="clear" w:color="auto" w:fill="auto"/>
            <w:tcMar>
              <w:top w:w="120" w:type="dxa"/>
              <w:left w:w="120" w:type="dxa"/>
              <w:bottom w:w="120" w:type="dxa"/>
              <w:right w:w="120" w:type="dxa"/>
            </w:tcMar>
            <w:vAlign w:val="center"/>
          </w:tcPr>
          <w:p w14:paraId="5233D59F">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黑体" w:hAnsi="黑体" w:eastAsia="黑体" w:cs="黑体"/>
                <w:b/>
                <w:color w:val="000000"/>
                <w:kern w:val="0"/>
                <w:sz w:val="28"/>
                <w:szCs w:val="28"/>
              </w:rPr>
            </w:pPr>
            <w:r>
              <w:rPr>
                <w:rFonts w:hint="eastAsia" w:ascii="黑体" w:hAnsi="黑体" w:eastAsia="黑体" w:cs="黑体"/>
                <w:b/>
                <w:color w:val="000000"/>
                <w:kern w:val="0"/>
                <w:sz w:val="28"/>
                <w:szCs w:val="28"/>
                <w:lang w:val="en-US" w:eastAsia="zh-CN"/>
              </w:rPr>
              <w:t>详细评分点</w:t>
            </w:r>
          </w:p>
        </w:tc>
        <w:tc>
          <w:tcPr>
            <w:tcW w:w="911" w:type="dxa"/>
            <w:shd w:val="clear" w:color="auto" w:fill="auto"/>
            <w:tcMar>
              <w:top w:w="120" w:type="dxa"/>
              <w:left w:w="120" w:type="dxa"/>
              <w:bottom w:w="120" w:type="dxa"/>
              <w:right w:w="120" w:type="dxa"/>
            </w:tcMar>
            <w:vAlign w:val="center"/>
          </w:tcPr>
          <w:p w14:paraId="43941F10">
            <w:pPr>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黑体" w:hAnsi="黑体" w:eastAsia="黑体" w:cs="黑体"/>
                <w:b/>
                <w:color w:val="000000"/>
                <w:kern w:val="0"/>
                <w:sz w:val="28"/>
                <w:szCs w:val="28"/>
                <w:lang w:val="en-US" w:eastAsia="zh-CN"/>
              </w:rPr>
            </w:pPr>
            <w:r>
              <w:rPr>
                <w:rFonts w:hint="eastAsia" w:ascii="黑体" w:hAnsi="黑体" w:eastAsia="黑体" w:cs="黑体"/>
                <w:b/>
                <w:color w:val="000000"/>
                <w:kern w:val="0"/>
                <w:sz w:val="28"/>
                <w:szCs w:val="28"/>
                <w:lang w:val="en-US" w:eastAsia="zh-CN"/>
              </w:rPr>
              <w:t>分值</w:t>
            </w:r>
          </w:p>
        </w:tc>
      </w:tr>
      <w:tr w14:paraId="2258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504" w:hRule="atLeast"/>
          <w:jc w:val="center"/>
        </w:trPr>
        <w:tc>
          <w:tcPr>
            <w:tcW w:w="838" w:type="dxa"/>
            <w:shd w:val="clear" w:color="auto" w:fill="auto"/>
            <w:tcMar>
              <w:top w:w="120" w:type="dxa"/>
              <w:left w:w="120" w:type="dxa"/>
              <w:bottom w:w="120" w:type="dxa"/>
              <w:right w:w="120" w:type="dxa"/>
            </w:tcMar>
            <w:vAlign w:val="center"/>
          </w:tcPr>
          <w:p w14:paraId="623878F2">
            <w:pPr>
              <w:keepNext w:val="0"/>
              <w:keepLines w:val="0"/>
              <w:widowControl/>
              <w:suppressLineNumbers w:val="0"/>
              <w:snapToGrid w:val="0"/>
              <w:spacing w:line="240" w:lineRule="auto"/>
              <w:ind w:left="0" w:leftChars="0" w:right="0" w:rightChars="0" w:firstLine="0" w:firstLineChars="0"/>
              <w:jc w:val="center"/>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1</w:t>
            </w:r>
          </w:p>
        </w:tc>
        <w:tc>
          <w:tcPr>
            <w:tcW w:w="1580" w:type="dxa"/>
            <w:shd w:val="clear" w:color="auto" w:fill="auto"/>
            <w:tcMar>
              <w:top w:w="120" w:type="dxa"/>
              <w:left w:w="120" w:type="dxa"/>
              <w:bottom w:w="120" w:type="dxa"/>
              <w:right w:w="120" w:type="dxa"/>
            </w:tcMar>
            <w:vAlign w:val="center"/>
          </w:tcPr>
          <w:p w14:paraId="03EE0BA1">
            <w:pPr>
              <w:keepNext w:val="0"/>
              <w:keepLines w:val="0"/>
              <w:widowControl/>
              <w:suppressLineNumbers w:val="0"/>
              <w:snapToGrid w:val="0"/>
              <w:spacing w:line="240" w:lineRule="auto"/>
              <w:ind w:left="0" w:leftChars="0" w:right="0" w:rightChars="0" w:firstLine="0" w:firstLineChars="0"/>
              <w:jc w:val="center"/>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项目立意与政策契合度</w:t>
            </w:r>
          </w:p>
        </w:tc>
        <w:tc>
          <w:tcPr>
            <w:tcW w:w="5513" w:type="dxa"/>
            <w:shd w:val="clear" w:color="auto" w:fill="auto"/>
            <w:tcMar>
              <w:top w:w="120" w:type="dxa"/>
              <w:left w:w="120" w:type="dxa"/>
              <w:bottom w:w="120" w:type="dxa"/>
              <w:right w:w="120" w:type="dxa"/>
            </w:tcMar>
            <w:vAlign w:val="center"/>
          </w:tcPr>
          <w:p w14:paraId="06A2A2B0">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项目缺乏与相关政策的关联，项目立意不明确（3分）；项目部分契合政策要求，但与政策的联系不够紧密，立意偏弱（5分）；项目立意明确，与政策要求联系紧密，充分体现社会需求（4分）；项目立意明确深刻，全面契合政策要求，展现出强烈的社会责任感（3分）。</w:t>
            </w:r>
          </w:p>
        </w:tc>
        <w:tc>
          <w:tcPr>
            <w:tcW w:w="911" w:type="dxa"/>
            <w:shd w:val="clear" w:color="auto" w:fill="auto"/>
            <w:tcMar>
              <w:top w:w="120" w:type="dxa"/>
              <w:left w:w="120" w:type="dxa"/>
              <w:bottom w:w="120" w:type="dxa"/>
              <w:right w:w="120" w:type="dxa"/>
            </w:tcMar>
            <w:vAlign w:val="center"/>
          </w:tcPr>
          <w:p w14:paraId="6B4B03CD">
            <w:pPr>
              <w:keepNext w:val="0"/>
              <w:keepLines w:val="0"/>
              <w:widowControl/>
              <w:suppressLineNumbers w:val="0"/>
              <w:jc w:val="center"/>
              <w:rPr>
                <w:rFonts w:hint="eastAsia" w:ascii="仿宋_GB2312" w:hAnsi="仿宋_GB2312" w:eastAsia="仿宋_GB2312" w:cs="仿宋_GB2312"/>
                <w:color w:val="auto"/>
                <w:kern w:val="0"/>
                <w:sz w:val="24"/>
                <w:szCs w:val="24"/>
                <w:lang w:val="en-US" w:eastAsia="zh-CN" w:bidi="ar"/>
              </w:rPr>
            </w:pPr>
            <w:r>
              <w:rPr>
                <w:rFonts w:hint="eastAsia" w:ascii="Times New Roman" w:hAnsi="Times New Roman" w:eastAsia="仿宋_GB2312" w:cs="Times New Roman"/>
                <w:snapToGrid w:val="0"/>
                <w:color w:val="auto"/>
                <w:spacing w:val="0"/>
                <w:kern w:val="0"/>
                <w:sz w:val="28"/>
                <w:szCs w:val="28"/>
                <w:lang w:val="en-US" w:eastAsia="zh-CN" w:bidi="ar-SA"/>
              </w:rPr>
              <w:t>15</w:t>
            </w:r>
            <w:r>
              <w:rPr>
                <w:rFonts w:hint="default" w:ascii="Times New Roman" w:hAnsi="Times New Roman" w:eastAsia="仿宋_GB2312" w:cs="Times New Roman"/>
                <w:kern w:val="0"/>
                <w:sz w:val="28"/>
                <w:szCs w:val="28"/>
                <w:lang w:val="en-US" w:eastAsia="zh-CN" w:bidi="ar"/>
              </w:rPr>
              <w:t>分</w:t>
            </w:r>
          </w:p>
        </w:tc>
      </w:tr>
      <w:tr w14:paraId="40B01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573" w:hRule="atLeast"/>
          <w:jc w:val="center"/>
        </w:trPr>
        <w:tc>
          <w:tcPr>
            <w:tcW w:w="838" w:type="dxa"/>
            <w:shd w:val="clear" w:color="auto" w:fill="auto"/>
            <w:tcMar>
              <w:top w:w="120" w:type="dxa"/>
              <w:left w:w="120" w:type="dxa"/>
              <w:bottom w:w="120" w:type="dxa"/>
              <w:right w:w="120" w:type="dxa"/>
            </w:tcMar>
            <w:vAlign w:val="center"/>
          </w:tcPr>
          <w:p w14:paraId="447F6E38">
            <w:pPr>
              <w:keepNext w:val="0"/>
              <w:keepLines w:val="0"/>
              <w:widowControl/>
              <w:suppressLineNumbers w:val="0"/>
              <w:snapToGrid w:val="0"/>
              <w:spacing w:line="240" w:lineRule="auto"/>
              <w:ind w:left="0" w:leftChars="0" w:right="0" w:rightChars="0" w:firstLine="0" w:firstLineChars="0"/>
              <w:jc w:val="center"/>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2</w:t>
            </w:r>
          </w:p>
        </w:tc>
        <w:tc>
          <w:tcPr>
            <w:tcW w:w="1580" w:type="dxa"/>
            <w:shd w:val="clear" w:color="auto" w:fill="auto"/>
            <w:tcMar>
              <w:top w:w="120" w:type="dxa"/>
              <w:left w:w="120" w:type="dxa"/>
              <w:bottom w:w="120" w:type="dxa"/>
              <w:right w:w="120" w:type="dxa"/>
            </w:tcMar>
            <w:vAlign w:val="center"/>
          </w:tcPr>
          <w:p w14:paraId="7749926B">
            <w:pPr>
              <w:keepNext w:val="0"/>
              <w:keepLines w:val="0"/>
              <w:widowControl/>
              <w:suppressLineNumbers w:val="0"/>
              <w:snapToGrid w:val="0"/>
              <w:spacing w:line="240" w:lineRule="auto"/>
              <w:ind w:left="0" w:leftChars="0" w:right="0" w:rightChars="0" w:firstLine="0" w:firstLineChars="0"/>
              <w:jc w:val="center"/>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方案创新性与差异化设计</w:t>
            </w:r>
          </w:p>
        </w:tc>
        <w:tc>
          <w:tcPr>
            <w:tcW w:w="5513" w:type="dxa"/>
            <w:shd w:val="clear" w:color="auto" w:fill="auto"/>
            <w:tcMar>
              <w:top w:w="120" w:type="dxa"/>
              <w:left w:w="120" w:type="dxa"/>
              <w:bottom w:w="120" w:type="dxa"/>
              <w:right w:w="120" w:type="dxa"/>
            </w:tcMar>
            <w:vAlign w:val="center"/>
          </w:tcPr>
          <w:p w14:paraId="72B16D16">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方案缺乏创新，设计平庸，毫无吸引力（6分）；方案有一定创新，但与市场现有方案同质化程度较高，缺乏明显差异化特征（6分）；方案创新性较强，具备一定差异化优势（6分）；方案创新性突出，设计独特且契合市场需求（7分）。</w:t>
            </w:r>
          </w:p>
        </w:tc>
        <w:tc>
          <w:tcPr>
            <w:tcW w:w="911" w:type="dxa"/>
            <w:shd w:val="clear" w:color="auto" w:fill="auto"/>
            <w:tcMar>
              <w:top w:w="120" w:type="dxa"/>
              <w:left w:w="120" w:type="dxa"/>
              <w:bottom w:w="120" w:type="dxa"/>
              <w:right w:w="120" w:type="dxa"/>
            </w:tcMar>
            <w:vAlign w:val="center"/>
          </w:tcPr>
          <w:p w14:paraId="0E41E7A1">
            <w:pPr>
              <w:keepNext w:val="0"/>
              <w:keepLines w:val="0"/>
              <w:widowControl/>
              <w:suppressLineNumbers w:val="0"/>
              <w:jc w:val="center"/>
              <w:rPr>
                <w:rFonts w:hint="eastAsia" w:ascii="仿宋_GB2312" w:hAnsi="仿宋_GB2312" w:eastAsia="仿宋_GB2312" w:cs="仿宋_GB2312"/>
                <w:color w:val="auto"/>
                <w:kern w:val="0"/>
                <w:sz w:val="24"/>
                <w:szCs w:val="24"/>
                <w:lang w:val="en-US" w:eastAsia="zh-CN" w:bidi="ar"/>
              </w:rPr>
            </w:pPr>
            <w:r>
              <w:rPr>
                <w:rFonts w:hint="eastAsia" w:ascii="Times New Roman" w:hAnsi="Times New Roman" w:eastAsia="仿宋_GB2312" w:cs="Times New Roman"/>
                <w:snapToGrid w:val="0"/>
                <w:color w:val="auto"/>
                <w:spacing w:val="0"/>
                <w:kern w:val="0"/>
                <w:sz w:val="28"/>
                <w:szCs w:val="28"/>
                <w:lang w:val="en-US" w:eastAsia="zh-CN" w:bidi="ar-SA"/>
              </w:rPr>
              <w:t>25</w:t>
            </w:r>
            <w:r>
              <w:rPr>
                <w:rFonts w:hint="default" w:ascii="Times New Roman" w:hAnsi="Times New Roman" w:eastAsia="仿宋_GB2312" w:cs="Times New Roman"/>
                <w:kern w:val="0"/>
                <w:sz w:val="28"/>
                <w:szCs w:val="28"/>
                <w:lang w:val="en-US" w:eastAsia="zh-CN" w:bidi="ar"/>
              </w:rPr>
              <w:t>分</w:t>
            </w:r>
          </w:p>
        </w:tc>
      </w:tr>
      <w:tr w14:paraId="434E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504" w:hRule="atLeast"/>
          <w:jc w:val="center"/>
        </w:trPr>
        <w:tc>
          <w:tcPr>
            <w:tcW w:w="838" w:type="dxa"/>
            <w:shd w:val="clear" w:color="auto" w:fill="auto"/>
            <w:tcMar>
              <w:top w:w="120" w:type="dxa"/>
              <w:left w:w="120" w:type="dxa"/>
              <w:bottom w:w="120" w:type="dxa"/>
              <w:right w:w="120" w:type="dxa"/>
            </w:tcMar>
            <w:vAlign w:val="center"/>
          </w:tcPr>
          <w:p w14:paraId="0B9334B8">
            <w:pPr>
              <w:keepNext w:val="0"/>
              <w:keepLines w:val="0"/>
              <w:widowControl/>
              <w:suppressLineNumbers w:val="0"/>
              <w:snapToGrid w:val="0"/>
              <w:spacing w:line="240" w:lineRule="auto"/>
              <w:ind w:left="0" w:leftChars="0" w:right="0" w:rightChars="0" w:firstLine="0" w:firstLineChars="0"/>
              <w:jc w:val="center"/>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3</w:t>
            </w:r>
          </w:p>
        </w:tc>
        <w:tc>
          <w:tcPr>
            <w:tcW w:w="1580" w:type="dxa"/>
            <w:shd w:val="clear" w:color="auto" w:fill="auto"/>
            <w:tcMar>
              <w:top w:w="120" w:type="dxa"/>
              <w:left w:w="120" w:type="dxa"/>
              <w:bottom w:w="120" w:type="dxa"/>
              <w:right w:w="120" w:type="dxa"/>
            </w:tcMar>
            <w:vAlign w:val="center"/>
          </w:tcPr>
          <w:p w14:paraId="419C0AF1">
            <w:pPr>
              <w:keepNext w:val="0"/>
              <w:keepLines w:val="0"/>
              <w:widowControl/>
              <w:suppressLineNumbers w:val="0"/>
              <w:snapToGrid w:val="0"/>
              <w:spacing w:line="240" w:lineRule="auto"/>
              <w:ind w:left="0" w:leftChars="0" w:right="0" w:rightChars="0" w:firstLine="0" w:firstLineChars="0"/>
              <w:jc w:val="center"/>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商业运营逻辑与盈利可行性</w:t>
            </w:r>
          </w:p>
        </w:tc>
        <w:tc>
          <w:tcPr>
            <w:tcW w:w="5513" w:type="dxa"/>
            <w:shd w:val="clear" w:color="auto" w:fill="auto"/>
            <w:tcMar>
              <w:top w:w="120" w:type="dxa"/>
              <w:left w:w="120" w:type="dxa"/>
              <w:bottom w:w="120" w:type="dxa"/>
              <w:right w:w="120" w:type="dxa"/>
            </w:tcMar>
            <w:vAlign w:val="center"/>
          </w:tcPr>
          <w:p w14:paraId="20A3F824">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缺乏合理的商业逻辑，盈利模式不清晰（7分）；商业运营逻辑基本合理，但对盈利模式和市场前景的分析不够充分（8分）；商业逻辑清晰，具备可行的盈利模式（7分）；商业逻辑严谨，盈利模式清晰明确且切实可行，拥有良好的市场发展前景（8分）。</w:t>
            </w:r>
          </w:p>
        </w:tc>
        <w:tc>
          <w:tcPr>
            <w:tcW w:w="911" w:type="dxa"/>
            <w:shd w:val="clear" w:color="auto" w:fill="auto"/>
            <w:tcMar>
              <w:top w:w="120" w:type="dxa"/>
              <w:left w:w="120" w:type="dxa"/>
              <w:bottom w:w="120" w:type="dxa"/>
              <w:right w:w="120" w:type="dxa"/>
            </w:tcMar>
            <w:vAlign w:val="center"/>
          </w:tcPr>
          <w:p w14:paraId="0D42ECC0">
            <w:pPr>
              <w:keepNext w:val="0"/>
              <w:keepLines w:val="0"/>
              <w:widowControl/>
              <w:suppressLineNumbers w:val="0"/>
              <w:jc w:val="center"/>
              <w:rPr>
                <w:rFonts w:hint="eastAsia" w:ascii="仿宋_GB2312" w:hAnsi="仿宋_GB2312" w:eastAsia="仿宋_GB2312" w:cs="仿宋_GB2312"/>
                <w:color w:val="auto"/>
                <w:kern w:val="0"/>
                <w:sz w:val="24"/>
                <w:szCs w:val="24"/>
                <w:lang w:val="en-US" w:eastAsia="zh-CN" w:bidi="ar"/>
              </w:rPr>
            </w:pPr>
            <w:r>
              <w:rPr>
                <w:rFonts w:hint="eastAsia" w:ascii="Times New Roman" w:hAnsi="Times New Roman" w:eastAsia="仿宋_GB2312" w:cs="Times New Roman"/>
                <w:snapToGrid w:val="0"/>
                <w:color w:val="auto"/>
                <w:spacing w:val="0"/>
                <w:kern w:val="0"/>
                <w:sz w:val="28"/>
                <w:szCs w:val="28"/>
                <w:lang w:val="en-US" w:eastAsia="zh-CN" w:bidi="ar-SA"/>
              </w:rPr>
              <w:t>30</w:t>
            </w:r>
            <w:r>
              <w:rPr>
                <w:rFonts w:hint="default" w:ascii="Times New Roman" w:hAnsi="Times New Roman" w:eastAsia="仿宋_GB2312" w:cs="Times New Roman"/>
                <w:kern w:val="0"/>
                <w:sz w:val="28"/>
                <w:szCs w:val="28"/>
                <w:lang w:val="en-US" w:eastAsia="zh-CN" w:bidi="ar"/>
              </w:rPr>
              <w:t>分</w:t>
            </w:r>
          </w:p>
        </w:tc>
      </w:tr>
      <w:tr w14:paraId="09B1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729" w:hRule="atLeast"/>
          <w:jc w:val="center"/>
        </w:trPr>
        <w:tc>
          <w:tcPr>
            <w:tcW w:w="838" w:type="dxa"/>
            <w:shd w:val="clear" w:color="auto" w:fill="auto"/>
            <w:tcMar>
              <w:top w:w="120" w:type="dxa"/>
              <w:left w:w="120" w:type="dxa"/>
              <w:bottom w:w="120" w:type="dxa"/>
              <w:right w:w="120" w:type="dxa"/>
            </w:tcMar>
            <w:vAlign w:val="center"/>
          </w:tcPr>
          <w:p w14:paraId="038BDB83">
            <w:pPr>
              <w:keepNext w:val="0"/>
              <w:keepLines w:val="0"/>
              <w:widowControl/>
              <w:suppressLineNumbers w:val="0"/>
              <w:snapToGrid w:val="0"/>
              <w:spacing w:line="240" w:lineRule="auto"/>
              <w:ind w:left="0" w:leftChars="0" w:right="0" w:rightChars="0" w:firstLine="0" w:firstLineChars="0"/>
              <w:jc w:val="center"/>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4</w:t>
            </w:r>
          </w:p>
        </w:tc>
        <w:tc>
          <w:tcPr>
            <w:tcW w:w="1580" w:type="dxa"/>
            <w:shd w:val="clear" w:color="auto" w:fill="auto"/>
            <w:tcMar>
              <w:top w:w="120" w:type="dxa"/>
              <w:left w:w="120" w:type="dxa"/>
              <w:bottom w:w="120" w:type="dxa"/>
              <w:right w:w="120" w:type="dxa"/>
            </w:tcMar>
            <w:vAlign w:val="center"/>
          </w:tcPr>
          <w:p w14:paraId="6808596E">
            <w:pPr>
              <w:keepNext w:val="0"/>
              <w:keepLines w:val="0"/>
              <w:widowControl/>
              <w:suppressLineNumbers w:val="0"/>
              <w:snapToGrid w:val="0"/>
              <w:spacing w:line="240" w:lineRule="auto"/>
              <w:ind w:left="0" w:leftChars="0" w:right="0" w:rightChars="0" w:firstLine="0" w:firstLineChars="0"/>
              <w:jc w:val="center"/>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落地实操性与资源适配性</w:t>
            </w:r>
          </w:p>
        </w:tc>
        <w:tc>
          <w:tcPr>
            <w:tcW w:w="5513" w:type="dxa"/>
            <w:shd w:val="clear" w:color="auto" w:fill="auto"/>
            <w:tcMar>
              <w:top w:w="120" w:type="dxa"/>
              <w:left w:w="120" w:type="dxa"/>
              <w:bottom w:w="120" w:type="dxa"/>
              <w:right w:w="120" w:type="dxa"/>
            </w:tcMar>
            <w:vAlign w:val="center"/>
          </w:tcPr>
          <w:p w14:paraId="48936369">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方案缺乏可实施性，资源配置不合理，基本无法落地推进（4分）；方案具备一定可操作性，但资源适配规划不够详尽，落地实施存在较多困难（6分）；方案具备较好的落地可行性，资源配置合理，实施风险处于可控范围（5分）；方案可操作性强，资源配置得当，实施路径清晰可行，风险管理体系完善（5分）。</w:t>
            </w:r>
          </w:p>
        </w:tc>
        <w:tc>
          <w:tcPr>
            <w:tcW w:w="911" w:type="dxa"/>
            <w:shd w:val="clear" w:color="auto" w:fill="auto"/>
            <w:tcMar>
              <w:top w:w="120" w:type="dxa"/>
              <w:left w:w="120" w:type="dxa"/>
              <w:bottom w:w="120" w:type="dxa"/>
              <w:right w:w="120" w:type="dxa"/>
            </w:tcMar>
            <w:vAlign w:val="center"/>
          </w:tcPr>
          <w:p w14:paraId="4884E233">
            <w:pPr>
              <w:keepNext w:val="0"/>
              <w:keepLines w:val="0"/>
              <w:widowControl/>
              <w:suppressLineNumbers w:val="0"/>
              <w:jc w:val="center"/>
              <w:rPr>
                <w:rFonts w:hint="eastAsia" w:ascii="仿宋_GB2312" w:hAnsi="仿宋_GB2312" w:eastAsia="仿宋_GB2312" w:cs="仿宋_GB2312"/>
                <w:color w:val="auto"/>
                <w:kern w:val="0"/>
                <w:sz w:val="24"/>
                <w:szCs w:val="24"/>
                <w:lang w:val="en-US" w:eastAsia="zh-CN" w:bidi="ar"/>
              </w:rPr>
            </w:pPr>
            <w:r>
              <w:rPr>
                <w:rFonts w:hint="eastAsia" w:ascii="Times New Roman" w:hAnsi="Times New Roman" w:eastAsia="仿宋_GB2312" w:cs="Times New Roman"/>
                <w:snapToGrid w:val="0"/>
                <w:color w:val="auto"/>
                <w:spacing w:val="0"/>
                <w:kern w:val="0"/>
                <w:sz w:val="28"/>
                <w:szCs w:val="28"/>
                <w:lang w:val="en-US" w:eastAsia="zh-CN" w:bidi="ar-SA"/>
              </w:rPr>
              <w:t>20</w:t>
            </w:r>
            <w:r>
              <w:rPr>
                <w:rFonts w:hint="default" w:ascii="Times New Roman" w:hAnsi="Times New Roman" w:eastAsia="仿宋_GB2312" w:cs="Times New Roman"/>
                <w:kern w:val="0"/>
                <w:sz w:val="28"/>
                <w:szCs w:val="28"/>
                <w:lang w:val="en-US" w:eastAsia="zh-CN" w:bidi="ar"/>
              </w:rPr>
              <w:t>分</w:t>
            </w:r>
          </w:p>
        </w:tc>
      </w:tr>
      <w:tr w14:paraId="767B0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286" w:hRule="atLeast"/>
          <w:jc w:val="center"/>
        </w:trPr>
        <w:tc>
          <w:tcPr>
            <w:tcW w:w="838" w:type="dxa"/>
            <w:shd w:val="clear" w:color="auto" w:fill="auto"/>
            <w:tcMar>
              <w:top w:w="120" w:type="dxa"/>
              <w:left w:w="120" w:type="dxa"/>
              <w:bottom w:w="120" w:type="dxa"/>
              <w:right w:w="120" w:type="dxa"/>
            </w:tcMar>
            <w:vAlign w:val="center"/>
          </w:tcPr>
          <w:p w14:paraId="22FA2D6D">
            <w:pPr>
              <w:keepNext w:val="0"/>
              <w:keepLines w:val="0"/>
              <w:widowControl/>
              <w:suppressLineNumbers w:val="0"/>
              <w:snapToGrid w:val="0"/>
              <w:spacing w:line="240" w:lineRule="auto"/>
              <w:ind w:left="0" w:leftChars="0" w:right="0" w:rightChars="0" w:firstLine="0" w:firstLineChars="0"/>
              <w:jc w:val="center"/>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5</w:t>
            </w:r>
          </w:p>
        </w:tc>
        <w:tc>
          <w:tcPr>
            <w:tcW w:w="1580" w:type="dxa"/>
            <w:shd w:val="clear" w:color="auto" w:fill="auto"/>
            <w:tcMar>
              <w:top w:w="120" w:type="dxa"/>
              <w:left w:w="120" w:type="dxa"/>
              <w:bottom w:w="120" w:type="dxa"/>
              <w:right w:w="120" w:type="dxa"/>
            </w:tcMar>
            <w:vAlign w:val="center"/>
          </w:tcPr>
          <w:p w14:paraId="1F3C35F0">
            <w:pPr>
              <w:keepNext w:val="0"/>
              <w:keepLines w:val="0"/>
              <w:widowControl/>
              <w:suppressLineNumbers w:val="0"/>
              <w:snapToGrid w:val="0"/>
              <w:spacing w:line="240" w:lineRule="auto"/>
              <w:ind w:left="0" w:leftChars="0" w:right="0" w:rightChars="0" w:firstLine="0" w:firstLineChars="0"/>
              <w:jc w:val="center"/>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社会效益与乡村振兴贡献</w:t>
            </w:r>
          </w:p>
        </w:tc>
        <w:tc>
          <w:tcPr>
            <w:tcW w:w="5513" w:type="dxa"/>
            <w:shd w:val="clear" w:color="auto" w:fill="auto"/>
            <w:tcMar>
              <w:top w:w="120" w:type="dxa"/>
              <w:left w:w="120" w:type="dxa"/>
              <w:bottom w:w="120" w:type="dxa"/>
              <w:right w:w="120" w:type="dxa"/>
            </w:tcMar>
            <w:vAlign w:val="center"/>
          </w:tcPr>
          <w:p w14:paraId="3B3C9E74">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对社会效益提升、乡村振兴发展的贡献微乎其微，缺乏社会责任感（1分）；对乡村振兴有一定贡献，但未对社会效益开展量化评估（2分）；能够积极助力乡村振兴，具备明显的社会效益，拥有良好的示范作用（2分）。</w:t>
            </w:r>
          </w:p>
        </w:tc>
        <w:tc>
          <w:tcPr>
            <w:tcW w:w="911" w:type="dxa"/>
            <w:shd w:val="clear" w:color="auto" w:fill="auto"/>
            <w:tcMar>
              <w:top w:w="120" w:type="dxa"/>
              <w:left w:w="120" w:type="dxa"/>
              <w:bottom w:w="120" w:type="dxa"/>
              <w:right w:w="120" w:type="dxa"/>
            </w:tcMar>
            <w:vAlign w:val="center"/>
          </w:tcPr>
          <w:p w14:paraId="4C0341E9">
            <w:pPr>
              <w:keepNext w:val="0"/>
              <w:keepLines w:val="0"/>
              <w:widowControl/>
              <w:suppressLineNumbers w:val="0"/>
              <w:jc w:val="center"/>
              <w:rPr>
                <w:rFonts w:hint="eastAsia" w:ascii="仿宋_GB2312" w:hAnsi="仿宋_GB2312" w:eastAsia="仿宋_GB2312" w:cs="仿宋_GB2312"/>
                <w:color w:val="auto"/>
                <w:kern w:val="0"/>
                <w:sz w:val="24"/>
                <w:szCs w:val="24"/>
                <w:lang w:val="en-US" w:eastAsia="zh-CN" w:bidi="ar"/>
              </w:rPr>
            </w:pPr>
            <w:r>
              <w:rPr>
                <w:rFonts w:hint="eastAsia" w:ascii="Times New Roman" w:hAnsi="Times New Roman" w:eastAsia="仿宋_GB2312" w:cs="Times New Roman"/>
                <w:snapToGrid w:val="0"/>
                <w:color w:val="auto"/>
                <w:spacing w:val="0"/>
                <w:kern w:val="0"/>
                <w:sz w:val="28"/>
                <w:szCs w:val="28"/>
                <w:lang w:val="en-US" w:eastAsia="zh-CN" w:bidi="ar-SA"/>
              </w:rPr>
              <w:t>5</w:t>
            </w:r>
            <w:r>
              <w:rPr>
                <w:rFonts w:hint="default" w:ascii="Times New Roman" w:hAnsi="Times New Roman" w:eastAsia="仿宋_GB2312" w:cs="Times New Roman"/>
                <w:kern w:val="0"/>
                <w:sz w:val="28"/>
                <w:szCs w:val="28"/>
                <w:lang w:val="en-US" w:eastAsia="zh-CN" w:bidi="ar"/>
              </w:rPr>
              <w:t>分</w:t>
            </w:r>
          </w:p>
        </w:tc>
      </w:tr>
      <w:tr w14:paraId="32D7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286" w:hRule="atLeast"/>
          <w:jc w:val="center"/>
        </w:trPr>
        <w:tc>
          <w:tcPr>
            <w:tcW w:w="838" w:type="dxa"/>
            <w:shd w:val="clear" w:color="auto" w:fill="auto"/>
            <w:tcMar>
              <w:top w:w="120" w:type="dxa"/>
              <w:left w:w="120" w:type="dxa"/>
              <w:bottom w:w="120" w:type="dxa"/>
              <w:right w:w="120" w:type="dxa"/>
            </w:tcMar>
            <w:vAlign w:val="center"/>
          </w:tcPr>
          <w:p w14:paraId="6153E68D">
            <w:pPr>
              <w:keepNext w:val="0"/>
              <w:keepLines w:val="0"/>
              <w:widowControl/>
              <w:suppressLineNumbers w:val="0"/>
              <w:snapToGrid w:val="0"/>
              <w:spacing w:line="240" w:lineRule="auto"/>
              <w:ind w:left="0" w:leftChars="0" w:right="0" w:rightChars="0" w:firstLine="0" w:firstLineChars="0"/>
              <w:jc w:val="center"/>
              <w:rPr>
                <w:rFonts w:hint="default"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6</w:t>
            </w:r>
          </w:p>
        </w:tc>
        <w:tc>
          <w:tcPr>
            <w:tcW w:w="1580" w:type="dxa"/>
            <w:shd w:val="clear" w:color="auto" w:fill="auto"/>
            <w:tcMar>
              <w:top w:w="120" w:type="dxa"/>
              <w:left w:w="120" w:type="dxa"/>
              <w:bottom w:w="120" w:type="dxa"/>
              <w:right w:w="120" w:type="dxa"/>
            </w:tcMar>
            <w:vAlign w:val="center"/>
          </w:tcPr>
          <w:p w14:paraId="6D5E2B47">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方案表现力</w:t>
            </w:r>
          </w:p>
        </w:tc>
        <w:tc>
          <w:tcPr>
            <w:tcW w:w="5513" w:type="dxa"/>
            <w:shd w:val="clear" w:color="auto" w:fill="auto"/>
            <w:tcMar>
              <w:top w:w="120" w:type="dxa"/>
              <w:left w:w="120" w:type="dxa"/>
              <w:bottom w:w="120" w:type="dxa"/>
              <w:right w:w="120" w:type="dxa"/>
            </w:tcMar>
            <w:vAlign w:val="center"/>
          </w:tcPr>
          <w:p w14:paraId="10B61A57">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表达不清，逻辑混乱，缺乏吸引力（1分）；</w:t>
            </w:r>
          </w:p>
          <w:p w14:paraId="1BA762C3">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基本可理解，但平淡无趣，缺少创意和亮点（2分）；表达清晰，逻辑合理，结构严谨，具备吸引力和创意（2分）。</w:t>
            </w:r>
          </w:p>
        </w:tc>
        <w:tc>
          <w:tcPr>
            <w:tcW w:w="911" w:type="dxa"/>
            <w:shd w:val="clear" w:color="auto" w:fill="auto"/>
            <w:tcMar>
              <w:top w:w="120" w:type="dxa"/>
              <w:left w:w="120" w:type="dxa"/>
              <w:bottom w:w="120" w:type="dxa"/>
              <w:right w:w="120" w:type="dxa"/>
            </w:tcMar>
            <w:vAlign w:val="center"/>
          </w:tcPr>
          <w:p w14:paraId="6B1E85A3">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eastAsia="仿宋_GB2312" w:cs="Times New Roman"/>
                <w:b w:val="0"/>
                <w:bCs w:val="0"/>
                <w:kern w:val="0"/>
                <w:sz w:val="28"/>
                <w:szCs w:val="28"/>
                <w:lang w:val="en-US" w:eastAsia="zh-CN" w:bidi="ar"/>
              </w:rPr>
            </w:pPr>
            <w:r>
              <w:rPr>
                <w:rFonts w:hint="eastAsia" w:ascii="Times New Roman" w:hAnsi="Times New Roman" w:eastAsia="仿宋_GB2312" w:cs="Times New Roman"/>
                <w:b w:val="0"/>
                <w:bCs w:val="0"/>
                <w:kern w:val="0"/>
                <w:sz w:val="28"/>
                <w:szCs w:val="28"/>
                <w:lang w:val="en-US" w:eastAsia="zh-CN" w:bidi="ar"/>
              </w:rPr>
              <w:t>5</w:t>
            </w:r>
            <w:r>
              <w:rPr>
                <w:rFonts w:hint="default" w:ascii="Times New Roman" w:hAnsi="Times New Roman" w:eastAsia="仿宋_GB2312" w:cs="Times New Roman"/>
                <w:b w:val="0"/>
                <w:bCs w:val="0"/>
                <w:kern w:val="0"/>
                <w:sz w:val="28"/>
                <w:szCs w:val="28"/>
                <w:lang w:val="en-US" w:eastAsia="zh-CN" w:bidi="ar"/>
              </w:rPr>
              <w:t>分</w:t>
            </w:r>
          </w:p>
        </w:tc>
      </w:tr>
    </w:tbl>
    <w:p w14:paraId="226A3A1B">
      <w:pPr>
        <w:keepNext w:val="0"/>
        <w:keepLines w:val="0"/>
        <w:pageBreakBefore w:val="0"/>
        <w:widowControl w:val="0"/>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default" w:ascii="Times New Roman" w:hAnsi="Times New Roman" w:eastAsia="仿宋_GB2312" w:cs="Times New Roman"/>
          <w:spacing w:val="-6"/>
          <w:sz w:val="24"/>
          <w:szCs w:val="2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200AE"/>
    <w:rsid w:val="0DE079B6"/>
    <w:rsid w:val="0EAD49A7"/>
    <w:rsid w:val="17895159"/>
    <w:rsid w:val="19D75F90"/>
    <w:rsid w:val="24945F95"/>
    <w:rsid w:val="28AF7842"/>
    <w:rsid w:val="2E162111"/>
    <w:rsid w:val="33EA7980"/>
    <w:rsid w:val="4D9626D8"/>
    <w:rsid w:val="59795CB2"/>
    <w:rsid w:val="638B5F75"/>
    <w:rsid w:val="6C3F4006"/>
    <w:rsid w:val="70933FC8"/>
    <w:rsid w:val="72AD085C"/>
    <w:rsid w:val="75722D56"/>
    <w:rsid w:val="7E3323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d93311bd-0b51-4728-9dd0-14cc59813897</errorID>
      <errorWord>.</errorWord>
      <group>L1_Format</group>
      <groupName>格式问题</groupName>
      <ability>L2_HalfPunc_CN</ability>
      <abilityName/>
      <candidateList>
        <item>。</item>
      </candidateList>
      <explain>文本全半角错误。</explain>
      <paraID> 3770569</paraID>
      <start>19</start>
      <end>20</end>
      <status>modified</status>
      <modifiedWord>。</modifiedWord>
      <trackRevisions>false</trackRevisions>
    </reviewItem>
    <reviewItem>
      <errorID>3a64f8c7-7021-44fc-ba8f-b6a20da933a3</errorID>
      <errorWord>-</errorWord>
      <group>L1_Format</group>
      <groupName>格式问题</groupName>
      <ability>L2_HalfPunc_CN</ability>
      <abilityName/>
      <candidateList>
        <item>－</item>
      </candidateList>
      <explain>文本全半角错误。</explain>
      <paraID>5372CEE3</paraID>
      <start>30</start>
      <end>31</end>
      <status>modified</status>
      <modifiedWord>－</modifiedWord>
      <trackRevisions>false</trackRevisions>
    </reviewItem>
    <reviewItem>
      <errorID>d67eaf4b-a4d0-47b9-a8e9-86c218ae24b2</errorID>
      <errorWord>-</errorWord>
      <group>L1_Format</group>
      <groupName>格式问题</groupName>
      <ability>L2_HalfPunc_CN</ability>
      <abilityName/>
      <candidateList>
        <item>－</item>
      </candidateList>
      <explain>文本全半角错误。</explain>
      <paraID>5372CEE3</paraID>
      <start>33</start>
      <end>34</end>
      <status>modified</status>
      <modifiedWord>－</modifiedWord>
      <trackRevisions>false</trackRevisions>
    </reviewItem>
    <reviewItem>
      <errorID>44ebd405-f1e5-4ecf-86e2-1146e16c3ba2</errorID>
      <errorWord>-</errorWord>
      <group>L1_Format</group>
      <groupName>格式问题</groupName>
      <ability>L2_HalfPunc_CN</ability>
      <abilityName/>
      <candidateList>
        <item>－</item>
      </candidateList>
      <explain>文本全半角错误。</explain>
      <paraID>5372CEE3</paraID>
      <start>36</start>
      <end>37</end>
      <status>modified</status>
      <modifiedWord>－</modifiedWord>
      <trackRevisions>false</trackRevisions>
    </reviewItem>
    <reviewItem>
      <errorID>389e388f-b022-4692-9baa-455ccfcc98d6</errorID>
      <errorWord>型</errorWord>
      <group>L1_Word</group>
      <groupName>字词问题</groupName>
      <ability>L2_Typo</ability>
      <abilityName>字词错误</abilityName>
      <candidateList>
        <item>型等</item>
      </candidateList>
      <explain/>
      <paraID>47D7D70D</paraID>
      <start>84</start>
      <end>86</end>
      <status>modified</status>
      <modifiedWord>型等</modifiedWord>
      <trackRevisions>false</trackRevisions>
    </reviewItem>
  </reviewItems>
  <config/>
</contractReview>
</file>

<file path=customXml/itemProps1.xml><?xml version="1.0" encoding="utf-8"?>
<ds:datastoreItem xmlns:ds="http://schemas.openxmlformats.org/officeDocument/2006/customXml" ds:itemID="{a1baffb8-9821-4a2a-8783-2013de480bbc}">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1387</Words>
  <Characters>1405</Characters>
  <Lines>0</Lines>
  <Paragraphs>0</Paragraphs>
  <TotalTime>0</TotalTime>
  <ScaleCrop>false</ScaleCrop>
  <LinksUpToDate>false</LinksUpToDate>
  <CharactersWithSpaces>1406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2026-06-23T01:19:00Z</dcterms:created>
  <dc:creator>HP</dc:creator>
  <cp:lastModifiedBy>M</cp:lastModifiedBy>
  <dcterms:modified xsi:type="dcterms:W3CDTF">2026-07-02T08:32:15Z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eyJoZGlkIjoiODU4MTE3NmZjZjIwMzcxZmJlYWFlNmU1YWQ1ZWU5NTIiLCJ1c2VySWQiOiIyODIxNjQ2NTkifQ==</vt:lpwstr>
  </property>
  <property fmtid="{D5CDD505-2E9C-101B-9397-08002B2CF9AE}" pid="4" name="ICV">
    <vt:lpwstr>04AC7092E5CE4005B9EC74F5DD5AF509_12</vt:lpwstr>
  </property>
</Properties>
</file>